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简体"/>
          <w:sz w:val="44"/>
          <w:szCs w:val="44"/>
        </w:rPr>
      </w:pPr>
      <w:bookmarkStart w:id="4" w:name="_GoBack"/>
      <w:r>
        <w:rPr>
          <w:rFonts w:eastAsia="方正小标宋简体"/>
          <w:sz w:val="44"/>
          <w:szCs w:val="44"/>
        </w:rPr>
        <w:t>关于印发</w:t>
      </w:r>
      <w:r>
        <w:rPr>
          <w:rFonts w:hint="eastAsia" w:eastAsia="方正小标宋简体"/>
          <w:sz w:val="44"/>
          <w:szCs w:val="44"/>
        </w:rPr>
        <w:t>南京市应急管理部门安全生产</w:t>
      </w:r>
    </w:p>
    <w:p>
      <w:pPr>
        <w:spacing w:line="700" w:lineRule="exact"/>
        <w:jc w:val="center"/>
        <w:rPr>
          <w:rFonts w:eastAsia="方正小标宋简体"/>
          <w:sz w:val="44"/>
          <w:szCs w:val="44"/>
        </w:rPr>
      </w:pPr>
      <w:r>
        <w:rPr>
          <w:rFonts w:hint="eastAsia" w:eastAsia="方正小标宋简体"/>
          <w:sz w:val="44"/>
          <w:szCs w:val="44"/>
        </w:rPr>
        <w:t>领域轻微违法行为依法不予行政处罚</w:t>
      </w:r>
    </w:p>
    <w:p>
      <w:pPr>
        <w:spacing w:line="700" w:lineRule="exact"/>
        <w:jc w:val="center"/>
        <w:rPr>
          <w:rFonts w:eastAsia="方正小标宋简体"/>
          <w:sz w:val="44"/>
          <w:szCs w:val="44"/>
        </w:rPr>
      </w:pPr>
      <w:r>
        <w:rPr>
          <w:rFonts w:hint="eastAsia" w:eastAsia="方正小标宋简体"/>
          <w:sz w:val="44"/>
          <w:szCs w:val="44"/>
        </w:rPr>
        <w:t>清单</w:t>
      </w:r>
      <w:r>
        <w:rPr>
          <w:rFonts w:eastAsia="方正小标宋简体"/>
          <w:sz w:val="44"/>
          <w:szCs w:val="44"/>
        </w:rPr>
        <w:t>的通知</w:t>
      </w:r>
      <w:bookmarkEnd w:id="4"/>
    </w:p>
    <w:p>
      <w:pPr>
        <w:spacing w:line="590" w:lineRule="exact"/>
        <w:rPr>
          <w:rFonts w:eastAsia="仿宋_GB2312"/>
          <w:sz w:val="32"/>
          <w:szCs w:val="32"/>
        </w:rPr>
      </w:pPr>
    </w:p>
    <w:p>
      <w:pPr>
        <w:spacing w:line="590" w:lineRule="exact"/>
        <w:rPr>
          <w:rFonts w:eastAsia="仿宋_GB2312"/>
          <w:sz w:val="32"/>
          <w:szCs w:val="32"/>
        </w:rPr>
      </w:pPr>
      <w:r>
        <w:rPr>
          <w:rFonts w:hint="eastAsia" w:eastAsia="仿宋_GB2312"/>
          <w:sz w:val="32"/>
          <w:szCs w:val="32"/>
        </w:rPr>
        <w:t>江北新区、各区（国家级开发区）应急管理局，</w:t>
      </w:r>
      <w:r>
        <w:rPr>
          <w:rFonts w:eastAsia="仿宋_GB2312"/>
          <w:sz w:val="32"/>
          <w:szCs w:val="32"/>
        </w:rPr>
        <w:t>局</w:t>
      </w:r>
      <w:r>
        <w:rPr>
          <w:rFonts w:hint="eastAsia" w:eastAsia="仿宋_GB2312"/>
          <w:sz w:val="32"/>
          <w:szCs w:val="32"/>
        </w:rPr>
        <w:t>机关</w:t>
      </w:r>
      <w:r>
        <w:rPr>
          <w:rFonts w:eastAsia="仿宋_GB2312"/>
          <w:sz w:val="32"/>
          <w:szCs w:val="32"/>
        </w:rPr>
        <w:t>各处室、所属</w:t>
      </w:r>
      <w:r>
        <w:rPr>
          <w:rFonts w:hint="eastAsia" w:eastAsia="仿宋_GB2312"/>
          <w:sz w:val="32"/>
          <w:szCs w:val="32"/>
        </w:rPr>
        <w:t>各</w:t>
      </w:r>
      <w:r>
        <w:rPr>
          <w:rFonts w:eastAsia="仿宋_GB2312"/>
          <w:sz w:val="32"/>
          <w:szCs w:val="32"/>
        </w:rPr>
        <w:t>单位：</w:t>
      </w:r>
    </w:p>
    <w:p>
      <w:pPr>
        <w:autoSpaceDE w:val="0"/>
        <w:autoSpaceDN w:val="0"/>
        <w:adjustRightInd w:val="0"/>
        <w:spacing w:line="580" w:lineRule="exact"/>
        <w:ind w:firstLine="660"/>
        <w:jc w:val="left"/>
        <w:rPr>
          <w:rFonts w:eastAsia="仿宋_GB2312" w:cs="Times New Roman"/>
          <w:sz w:val="32"/>
          <w:szCs w:val="32"/>
        </w:rPr>
      </w:pPr>
      <w:r>
        <w:rPr>
          <w:rFonts w:hint="eastAsia" w:eastAsia="仿宋_GB2312" w:cs="Times New Roman"/>
          <w:sz w:val="32"/>
          <w:szCs w:val="32"/>
        </w:rPr>
        <w:t>《南京市应急管理部门安全生产领域轻微违法行为依法不予行政处罚清单》已经市应急管理局局长办公会审议通过，现印发给你们，请结合实际认真执行。</w:t>
      </w:r>
    </w:p>
    <w:p>
      <w:pPr>
        <w:autoSpaceDE w:val="0"/>
        <w:autoSpaceDN w:val="0"/>
        <w:adjustRightInd w:val="0"/>
        <w:spacing w:line="580" w:lineRule="exact"/>
        <w:ind w:firstLine="660"/>
        <w:jc w:val="left"/>
        <w:rPr>
          <w:rFonts w:eastAsia="仿宋_GB2312" w:cs="Times New Roman"/>
          <w:sz w:val="32"/>
          <w:szCs w:val="32"/>
          <w:lang w:eastAsia="zh-TW"/>
        </w:rPr>
      </w:pPr>
    </w:p>
    <w:p>
      <w:pPr>
        <w:spacing w:line="590" w:lineRule="exact"/>
        <w:rPr>
          <w:rFonts w:eastAsia="仿宋_GB2312"/>
          <w:sz w:val="32"/>
          <w:szCs w:val="32"/>
        </w:rPr>
      </w:pPr>
    </w:p>
    <w:p>
      <w:pPr>
        <w:spacing w:line="590" w:lineRule="exact"/>
        <w:ind w:firstLine="5120" w:firstLineChars="1600"/>
        <w:jc w:val="left"/>
        <w:rPr>
          <w:rFonts w:eastAsia="仿宋_GB2312"/>
          <w:sz w:val="32"/>
          <w:szCs w:val="32"/>
        </w:rPr>
      </w:pPr>
      <w:r>
        <w:rPr>
          <w:rFonts w:eastAsia="仿宋_GB2312"/>
          <w:sz w:val="32"/>
          <w:szCs w:val="32"/>
        </w:rPr>
        <w:t>南京市应急管理局</w:t>
      </w:r>
    </w:p>
    <w:p>
      <w:pPr>
        <w:spacing w:line="590" w:lineRule="exact"/>
        <w:ind w:firstLine="5120" w:firstLineChars="1600"/>
        <w:jc w:val="left"/>
        <w:rPr>
          <w:rFonts w:eastAsia="仿宋_GB2312"/>
          <w:sz w:val="32"/>
          <w:szCs w:val="32"/>
        </w:rPr>
      </w:pPr>
      <w:r>
        <w:rPr>
          <w:rFonts w:hint="eastAsia" w:eastAsia="仿宋_GB2312"/>
          <w:sz w:val="32"/>
          <w:szCs w:val="32"/>
        </w:rPr>
        <w:t xml:space="preserve"> </w:t>
      </w:r>
      <w:r>
        <w:rPr>
          <w:rFonts w:eastAsia="仿宋_GB2312"/>
          <w:sz w:val="32"/>
          <w:szCs w:val="32"/>
        </w:rPr>
        <w:t>2023年</w:t>
      </w:r>
      <w:r>
        <w:rPr>
          <w:rFonts w:hint="eastAsia" w:eastAsia="仿宋_GB2312"/>
          <w:sz w:val="32"/>
          <w:szCs w:val="32"/>
        </w:rPr>
        <w:t>8</w:t>
      </w:r>
      <w:r>
        <w:rPr>
          <w:rFonts w:eastAsia="仿宋_GB2312"/>
          <w:sz w:val="32"/>
          <w:szCs w:val="32"/>
        </w:rPr>
        <w:t>月</w:t>
      </w:r>
      <w:r>
        <w:rPr>
          <w:rFonts w:hint="eastAsia"/>
          <w:sz w:val="32"/>
          <w:szCs w:val="32"/>
        </w:rPr>
        <w:t>7</w:t>
      </w:r>
      <w:r>
        <w:rPr>
          <w:rFonts w:eastAsia="仿宋_GB2312"/>
          <w:sz w:val="32"/>
          <w:szCs w:val="32"/>
        </w:rPr>
        <w:t>日</w:t>
      </w:r>
    </w:p>
    <w:p>
      <w:pPr>
        <w:spacing w:line="590" w:lineRule="exact"/>
        <w:ind w:firstLine="5120" w:firstLineChars="1600"/>
        <w:jc w:val="left"/>
        <w:rPr>
          <w:rFonts w:eastAsia="仿宋_GB2312"/>
          <w:sz w:val="32"/>
          <w:szCs w:val="32"/>
        </w:rPr>
      </w:pPr>
    </w:p>
    <w:p>
      <w:pPr>
        <w:spacing w:line="590" w:lineRule="exact"/>
        <w:ind w:firstLine="5120" w:firstLineChars="1600"/>
        <w:jc w:val="left"/>
        <w:rPr>
          <w:rFonts w:eastAsia="仿宋_GB2312"/>
          <w:sz w:val="32"/>
          <w:szCs w:val="32"/>
        </w:rPr>
      </w:pPr>
    </w:p>
    <w:p>
      <w:pPr>
        <w:pStyle w:val="7"/>
        <w:shd w:val="clear" w:color="auto" w:fill="FFFFFF"/>
        <w:spacing w:before="0" w:beforeAutospacing="0" w:after="0" w:afterAutospacing="0" w:line="590" w:lineRule="exact"/>
        <w:jc w:val="center"/>
        <w:rPr>
          <w:rFonts w:ascii="方正小标宋_GBK" w:hAnsi="Times" w:eastAsia="方正小标宋_GBK" w:cs="Times"/>
          <w:sz w:val="44"/>
          <w:szCs w:val="44"/>
        </w:rPr>
      </w:pPr>
      <w:r>
        <w:rPr>
          <w:rFonts w:hint="eastAsia" w:ascii="方正小标宋_GBK" w:hAnsi="Times" w:eastAsia="方正小标宋_GBK" w:cs="Times"/>
          <w:sz w:val="44"/>
          <w:szCs w:val="44"/>
        </w:rPr>
        <w:t>南京市应急管理部门安全生产领域</w:t>
      </w:r>
    </w:p>
    <w:p>
      <w:pPr>
        <w:pStyle w:val="7"/>
        <w:shd w:val="clear" w:color="auto" w:fill="FFFFFF"/>
        <w:spacing w:before="0" w:beforeAutospacing="0" w:after="0" w:afterAutospacing="0" w:line="590" w:lineRule="exact"/>
        <w:jc w:val="center"/>
        <w:rPr>
          <w:rFonts w:ascii="方正小标宋_GBK" w:hAnsi="Times" w:eastAsia="方正小标宋_GBK" w:cs="Times"/>
          <w:sz w:val="44"/>
          <w:szCs w:val="44"/>
        </w:rPr>
      </w:pPr>
      <w:r>
        <w:rPr>
          <w:rFonts w:hint="eastAsia" w:ascii="方正小标宋_GBK" w:hAnsi="Times" w:eastAsia="方正小标宋_GBK" w:cs="Times"/>
          <w:sz w:val="44"/>
          <w:szCs w:val="44"/>
        </w:rPr>
        <w:t>轻微违法行为依法不予行政处罚清单</w:t>
      </w:r>
    </w:p>
    <w:p>
      <w:pPr>
        <w:pStyle w:val="7"/>
        <w:spacing w:before="0" w:beforeAutospacing="0" w:after="0" w:afterAutospacing="0" w:line="590" w:lineRule="exact"/>
        <w:rPr>
          <w:rFonts w:ascii="方正小标宋_GBK" w:hAnsi="Times" w:eastAsia="方正小标宋_GBK" w:cs="Times"/>
          <w:sz w:val="44"/>
          <w:szCs w:val="44"/>
        </w:rPr>
      </w:pPr>
    </w:p>
    <w:p>
      <w:pPr>
        <w:autoSpaceDE w:val="0"/>
        <w:autoSpaceDN w:val="0"/>
        <w:adjustRightInd w:val="0"/>
        <w:spacing w:line="590" w:lineRule="exact"/>
        <w:ind w:firstLine="660"/>
        <w:jc w:val="left"/>
        <w:rPr>
          <w:rFonts w:eastAsia="仿宋_GB2312" w:cs="Times New Roman"/>
          <w:sz w:val="32"/>
          <w:szCs w:val="32"/>
        </w:rPr>
      </w:pPr>
      <w:r>
        <w:rPr>
          <w:rFonts w:eastAsia="仿宋_GB2312" w:cs="Times New Roman"/>
          <w:sz w:val="32"/>
          <w:szCs w:val="32"/>
        </w:rPr>
        <w:t>为深入贯彻落实《南京市法治政府建设实施方案（2021</w:t>
      </w:r>
      <w:r>
        <w:rPr>
          <w:rFonts w:hint="eastAsia" w:eastAsia="仿宋_GB2312" w:cs="Times New Roman"/>
          <w:sz w:val="32"/>
          <w:szCs w:val="32"/>
        </w:rPr>
        <w:t>—</w:t>
      </w:r>
      <w:r>
        <w:rPr>
          <w:rFonts w:eastAsia="仿宋_GB2312" w:cs="Times New Roman"/>
          <w:sz w:val="32"/>
          <w:szCs w:val="32"/>
        </w:rPr>
        <w:t>2025年）》《市政府关于印发南京市推动经济运行率先整体好转若干政策措施的通知》（宁政规字〔2023〕2号）有关要求，进一步优化法治</w:t>
      </w:r>
      <w:r>
        <w:rPr>
          <w:rFonts w:hint="eastAsia" w:eastAsia="仿宋_GB2312" w:cs="Times New Roman"/>
          <w:sz w:val="32"/>
          <w:szCs w:val="32"/>
        </w:rPr>
        <w:t>化</w:t>
      </w:r>
      <w:r>
        <w:rPr>
          <w:rFonts w:eastAsia="仿宋_GB2312" w:cs="Times New Roman"/>
          <w:sz w:val="32"/>
          <w:szCs w:val="32"/>
        </w:rPr>
        <w:t>营商环境，根据《中华人民共和国行政处罚法》《中华人民共和国安全生产法》《江苏省安全生产行政处罚自由裁量适用细则（202</w:t>
      </w:r>
      <w:r>
        <w:rPr>
          <w:rFonts w:hint="eastAsia" w:eastAsia="仿宋_GB2312" w:cs="Times New Roman"/>
          <w:sz w:val="32"/>
          <w:szCs w:val="32"/>
        </w:rPr>
        <w:t>3</w:t>
      </w:r>
      <w:r>
        <w:rPr>
          <w:rFonts w:eastAsia="仿宋_GB2312" w:cs="Times New Roman"/>
          <w:sz w:val="32"/>
          <w:szCs w:val="32"/>
        </w:rPr>
        <w:t>版）》等</w:t>
      </w:r>
      <w:r>
        <w:rPr>
          <w:rFonts w:hint="eastAsia" w:eastAsia="仿宋_GB2312" w:cs="Times New Roman"/>
          <w:sz w:val="32"/>
          <w:szCs w:val="32"/>
        </w:rPr>
        <w:t>相关规定</w:t>
      </w:r>
      <w:r>
        <w:rPr>
          <w:rFonts w:eastAsia="仿宋_GB2312" w:cs="Times New Roman"/>
          <w:sz w:val="32"/>
          <w:szCs w:val="32"/>
        </w:rPr>
        <w:t>，制定《南京市应急管理部门安全生产领域轻微违法行为依法不予行政处罚清单》（以下简称《清单》）。</w:t>
      </w:r>
    </w:p>
    <w:p>
      <w:pPr>
        <w:autoSpaceDE w:val="0"/>
        <w:autoSpaceDN w:val="0"/>
        <w:adjustRightInd w:val="0"/>
        <w:spacing w:line="590" w:lineRule="exact"/>
        <w:ind w:firstLine="660"/>
        <w:jc w:val="left"/>
        <w:rPr>
          <w:rFonts w:ascii="黑体" w:hAnsi="黑体" w:eastAsia="黑体" w:cs="Times"/>
          <w:sz w:val="32"/>
          <w:szCs w:val="32"/>
        </w:rPr>
      </w:pPr>
      <w:r>
        <w:rPr>
          <w:rFonts w:hint="eastAsia" w:ascii="黑体" w:hAnsi="黑体" w:eastAsia="黑体" w:cs="Times"/>
          <w:sz w:val="32"/>
          <w:szCs w:val="32"/>
        </w:rPr>
        <w:t>一、适用范围</w:t>
      </w:r>
    </w:p>
    <w:p>
      <w:pPr>
        <w:autoSpaceDE w:val="0"/>
        <w:autoSpaceDN w:val="0"/>
        <w:adjustRightInd w:val="0"/>
        <w:spacing w:line="590" w:lineRule="exact"/>
        <w:ind w:firstLine="660"/>
        <w:jc w:val="left"/>
        <w:rPr>
          <w:rFonts w:ascii="仿宋_GB2312" w:hAnsi="Times" w:eastAsia="仿宋_GB2312" w:cs="Times"/>
          <w:sz w:val="32"/>
          <w:szCs w:val="32"/>
        </w:rPr>
      </w:pPr>
      <w:r>
        <w:rPr>
          <w:rFonts w:hint="eastAsia" w:ascii="仿宋_GB2312" w:hAnsi="Times" w:eastAsia="仿宋_GB2312" w:cs="Times"/>
          <w:sz w:val="32"/>
          <w:szCs w:val="32"/>
        </w:rPr>
        <w:t>《清单》适用于全市范围内，应急管理部门在法定监管职责范围内对安全生产违法行为的处理。</w:t>
      </w:r>
    </w:p>
    <w:p>
      <w:pPr>
        <w:autoSpaceDE w:val="0"/>
        <w:autoSpaceDN w:val="0"/>
        <w:adjustRightInd w:val="0"/>
        <w:spacing w:line="590" w:lineRule="exact"/>
        <w:jc w:val="left"/>
        <w:rPr>
          <w:rFonts w:ascii="黑体" w:hAnsi="黑体" w:eastAsia="黑体" w:cs="Times"/>
          <w:sz w:val="32"/>
          <w:szCs w:val="32"/>
        </w:rPr>
      </w:pPr>
      <w:r>
        <w:rPr>
          <w:rFonts w:hint="eastAsia" w:ascii="黑体" w:hAnsi="黑体" w:eastAsia="黑体" w:cs="Times"/>
          <w:sz w:val="32"/>
          <w:szCs w:val="32"/>
        </w:rPr>
        <w:t xml:space="preserve">    二、适用条件</w:t>
      </w:r>
    </w:p>
    <w:p>
      <w:pPr>
        <w:pStyle w:val="7"/>
        <w:shd w:val="clear" w:color="auto" w:fill="FFFFFF"/>
        <w:spacing w:before="0" w:beforeAutospacing="0" w:after="0" w:afterAutospacing="0" w:line="590" w:lineRule="exact"/>
        <w:jc w:val="both"/>
        <w:rPr>
          <w:rFonts w:ascii="Times" w:hAnsi="Times" w:cs="Times"/>
          <w:sz w:val="32"/>
          <w:szCs w:val="32"/>
        </w:rPr>
      </w:pPr>
      <w:r>
        <w:rPr>
          <w:rFonts w:hint="eastAsia" w:ascii="仿宋_GB2312" w:hAnsi="Times" w:eastAsia="仿宋_GB2312" w:cs="Times"/>
          <w:sz w:val="32"/>
          <w:szCs w:val="32"/>
          <w:shd w:val="clear" w:color="auto" w:fill="FFFFFF"/>
        </w:rPr>
        <w:t xml:space="preserve">    适用《清单》不予行政处罚的</w:t>
      </w:r>
      <w:r>
        <w:rPr>
          <w:rFonts w:hint="eastAsia" w:ascii="仿宋_GB2312" w:hAnsi="Times New Roman" w:eastAsia="仿宋_GB2312" w:cs="Times New Roman"/>
          <w:smallCaps/>
          <w:sz w:val="32"/>
          <w:szCs w:val="32"/>
        </w:rPr>
        <w:t>当事人</w:t>
      </w:r>
      <w:r>
        <w:rPr>
          <w:rFonts w:hint="eastAsia" w:ascii="仿宋_GB2312" w:hAnsi="Times" w:eastAsia="仿宋_GB2312" w:cs="Times"/>
          <w:sz w:val="32"/>
          <w:szCs w:val="32"/>
          <w:shd w:val="clear" w:color="auto" w:fill="FFFFFF"/>
        </w:rPr>
        <w:t>，应当同时满足下列基本条件：</w:t>
      </w:r>
    </w:p>
    <w:p>
      <w:pPr>
        <w:pStyle w:val="7"/>
        <w:shd w:val="clear" w:color="auto" w:fill="FFFFFF"/>
        <w:spacing w:before="0" w:beforeAutospacing="0" w:after="0" w:afterAutospacing="0" w:line="59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（一）近三年内未发生生产安全亡人事故，且未发生有较大社会影响事故；</w:t>
      </w:r>
    </w:p>
    <w:p>
      <w:pPr>
        <w:pStyle w:val="7"/>
        <w:shd w:val="clear" w:color="auto" w:fill="FFFFFF"/>
        <w:spacing w:before="0" w:beforeAutospacing="0" w:after="0" w:afterAutospacing="0" w:line="59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（二）近一年内未被市、区应急管理部门（或被赋权街镇）实施行政处罚；</w:t>
      </w:r>
    </w:p>
    <w:p>
      <w:pPr>
        <w:pStyle w:val="7"/>
        <w:shd w:val="clear" w:color="auto" w:fill="FFFFFF"/>
        <w:spacing w:before="0" w:beforeAutospacing="0" w:after="0" w:afterAutospacing="0" w:line="59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（三）未被纳入安全生产严重失信联合惩戒名单。</w:t>
      </w:r>
    </w:p>
    <w:p>
      <w:pPr>
        <w:pStyle w:val="7"/>
        <w:shd w:val="clear" w:color="auto" w:fill="FFFFFF"/>
        <w:spacing w:before="0" w:beforeAutospacing="0" w:after="0" w:afterAutospacing="0" w:line="59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有下列情形之一的，不适用轻微违法行为不予行政处罚：</w:t>
      </w:r>
    </w:p>
    <w:p>
      <w:pPr>
        <w:pStyle w:val="7"/>
        <w:shd w:val="clear" w:color="auto" w:fill="FFFFFF"/>
        <w:spacing w:before="0" w:beforeAutospacing="0" w:after="0" w:afterAutospacing="0" w:line="59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（一）涉及重大生产安全事故隐患的；</w:t>
      </w:r>
    </w:p>
    <w:p>
      <w:pPr>
        <w:pStyle w:val="7"/>
        <w:shd w:val="clear" w:color="auto" w:fill="FFFFFF"/>
        <w:spacing w:before="0" w:beforeAutospacing="0" w:after="0" w:afterAutospacing="0" w:line="59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（二）经安全专业技术人员或者具有相应资质的专业机构认定有可能造成严重后果的；</w:t>
      </w:r>
    </w:p>
    <w:p>
      <w:pPr>
        <w:pStyle w:val="7"/>
        <w:shd w:val="clear" w:color="auto" w:fill="FFFFFF"/>
        <w:spacing w:before="0" w:beforeAutospacing="0" w:after="0" w:afterAutospacing="0" w:line="59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（三）有法定从重情节的。</w:t>
      </w:r>
    </w:p>
    <w:p>
      <w:pPr>
        <w:pStyle w:val="7"/>
        <w:shd w:val="clear" w:color="auto" w:fill="FFFFFF"/>
        <w:spacing w:before="0" w:beforeAutospacing="0" w:after="0" w:afterAutospacing="0" w:line="590" w:lineRule="exact"/>
        <w:jc w:val="both"/>
        <w:rPr>
          <w:rFonts w:ascii="黑体" w:hAnsi="黑体" w:eastAsia="黑体" w:cs="Times"/>
          <w:sz w:val="32"/>
          <w:szCs w:val="32"/>
          <w:shd w:val="clear" w:color="auto" w:fill="FFFFFF"/>
        </w:rPr>
      </w:pPr>
      <w:r>
        <w:rPr>
          <w:rFonts w:hint="eastAsia" w:ascii="黑体" w:hAnsi="黑体" w:eastAsia="黑体" w:cs="Times"/>
          <w:sz w:val="32"/>
          <w:szCs w:val="32"/>
          <w:shd w:val="clear" w:color="auto" w:fill="FFFFFF"/>
        </w:rPr>
        <w:t xml:space="preserve">    三、相关用语含义</w:t>
      </w:r>
    </w:p>
    <w:p>
      <w:pPr>
        <w:pStyle w:val="7"/>
        <w:shd w:val="clear" w:color="auto" w:fill="FFFFFF"/>
        <w:spacing w:before="0" w:beforeAutospacing="0" w:after="0" w:afterAutospacing="0" w:line="590" w:lineRule="exact"/>
        <w:ind w:firstLine="640" w:firstLineChars="200"/>
        <w:jc w:val="both"/>
        <w:rPr>
          <w:rFonts w:ascii="仿宋_GB2312" w:hAnsi="Times" w:eastAsia="仿宋_GB2312" w:cs="Times"/>
          <w:sz w:val="32"/>
          <w:szCs w:val="32"/>
          <w:shd w:val="clear" w:color="auto" w:fill="FFFFFF"/>
        </w:rPr>
      </w:pPr>
      <w:r>
        <w:rPr>
          <w:rFonts w:hint="eastAsia" w:ascii="仿宋_GB2312" w:hAnsi="Times" w:eastAsia="仿宋_GB2312" w:cs="Times"/>
          <w:sz w:val="32"/>
          <w:szCs w:val="32"/>
          <w:shd w:val="clear" w:color="auto" w:fill="FFFFFF"/>
        </w:rPr>
        <w:t>初次违法，是指当事人近两年内第一次实施《清单》所列安全生产违法行为。行政执法人员可以通过询问当事人，查询应急管理行政执法系统、信用中国公示系统、国家企业信用信息公示系统相关记录，以及应急管理系统内部核实等方式进行确认。</w:t>
      </w:r>
    </w:p>
    <w:p>
      <w:pPr>
        <w:pStyle w:val="7"/>
        <w:shd w:val="clear" w:color="auto" w:fill="FFFFFF"/>
        <w:spacing w:before="0" w:beforeAutospacing="0" w:after="0" w:afterAutospacing="0" w:line="590" w:lineRule="exact"/>
        <w:ind w:firstLine="640" w:firstLineChars="200"/>
        <w:jc w:val="both"/>
        <w:rPr>
          <w:rFonts w:ascii="仿宋_GB2312" w:hAnsi="Times" w:eastAsia="仿宋_GB2312" w:cs="Times"/>
          <w:sz w:val="32"/>
          <w:szCs w:val="32"/>
          <w:shd w:val="clear" w:color="auto" w:fill="FFFFFF"/>
        </w:rPr>
      </w:pPr>
      <w:r>
        <w:rPr>
          <w:rFonts w:hint="eastAsia" w:ascii="仿宋_GB2312" w:hAnsi="Times" w:eastAsia="仿宋_GB2312" w:cs="Times"/>
          <w:sz w:val="32"/>
          <w:szCs w:val="32"/>
          <w:shd w:val="clear" w:color="auto" w:fill="FFFFFF"/>
        </w:rPr>
        <w:t>危害后果轻微，是指违法行为危害程度较轻，危害范围较小，未造成明显危害后果和社会影响，或已主动消除、减轻危害后果等情形。</w:t>
      </w:r>
    </w:p>
    <w:p>
      <w:pPr>
        <w:pStyle w:val="7"/>
        <w:shd w:val="clear" w:color="auto" w:fill="FFFFFF"/>
        <w:spacing w:before="0" w:beforeAutospacing="0" w:after="0" w:afterAutospacing="0" w:line="590" w:lineRule="exact"/>
        <w:ind w:firstLine="640" w:firstLineChars="200"/>
        <w:jc w:val="both"/>
        <w:rPr>
          <w:rFonts w:ascii="Times New Roman" w:hAnsi="Times New Roman" w:cs="Times New Roman"/>
          <w:smallCaps/>
          <w:sz w:val="32"/>
          <w:szCs w:val="32"/>
        </w:rPr>
      </w:pPr>
      <w:r>
        <w:rPr>
          <w:rFonts w:hint="eastAsia" w:ascii="仿宋_GB2312" w:hAnsi="Times New Roman" w:eastAsia="仿宋_GB2312" w:cs="Times New Roman"/>
          <w:smallCaps/>
          <w:sz w:val="32"/>
          <w:szCs w:val="32"/>
        </w:rPr>
        <w:t>及时改正，是指在应急管理部门发现违法行为线索之前主动完成改正的；或在应急管理部门发现违法行为线索之后，责令改正之前主动完成改正的；或在应急管理部门责令改正后按要求完成改正的。</w:t>
      </w:r>
    </w:p>
    <w:p>
      <w:pPr>
        <w:pStyle w:val="7"/>
        <w:shd w:val="clear" w:color="auto" w:fill="FFFFFF"/>
        <w:spacing w:before="0" w:beforeAutospacing="0" w:after="0" w:afterAutospacing="0" w:line="590" w:lineRule="exact"/>
        <w:ind w:firstLine="640" w:firstLineChars="200"/>
        <w:jc w:val="both"/>
        <w:rPr>
          <w:rFonts w:ascii="黑体" w:hAnsi="黑体" w:eastAsia="黑体" w:cs="Times New Roman"/>
          <w:smallCaps/>
          <w:sz w:val="32"/>
          <w:szCs w:val="32"/>
        </w:rPr>
      </w:pPr>
      <w:r>
        <w:rPr>
          <w:rFonts w:hint="eastAsia" w:ascii="黑体" w:hAnsi="黑体" w:eastAsia="黑体" w:cs="Times New Roman"/>
          <w:smallCaps/>
          <w:sz w:val="32"/>
          <w:szCs w:val="32"/>
        </w:rPr>
        <w:t>四、相关规定</w:t>
      </w:r>
    </w:p>
    <w:p>
      <w:pPr>
        <w:pStyle w:val="7"/>
        <w:shd w:val="clear" w:color="auto" w:fill="FFFFFF"/>
        <w:spacing w:before="0" w:beforeAutospacing="0" w:after="0" w:afterAutospacing="0" w:line="590" w:lineRule="exact"/>
        <w:ind w:firstLine="516"/>
        <w:jc w:val="both"/>
        <w:rPr>
          <w:rFonts w:ascii="仿宋_GB2312" w:hAnsi="Times" w:eastAsia="仿宋_GB2312" w:cs="Times"/>
          <w:sz w:val="32"/>
          <w:szCs w:val="32"/>
          <w:shd w:val="clear" w:color="auto" w:fill="FFFFFF"/>
        </w:rPr>
      </w:pPr>
      <w:r>
        <w:rPr>
          <w:rFonts w:hint="eastAsia" w:ascii="仿宋_GB2312" w:hAnsi="Times" w:eastAsia="仿宋_GB2312" w:cs="Times"/>
          <w:sz w:val="32"/>
          <w:szCs w:val="32"/>
          <w:shd w:val="clear" w:color="auto" w:fill="FFFFFF"/>
        </w:rPr>
        <w:t>（一）依据《清单》不予行政处罚的，行政执法人员应当按照相关程序要求，做好立案、调查取证、责令改正、复查等工作，依法作出不予行政处罚决定，制发《不予行政处罚决定书》，并做好结案归档。</w:t>
      </w:r>
    </w:p>
    <w:p>
      <w:pPr>
        <w:pStyle w:val="7"/>
        <w:shd w:val="clear" w:color="auto" w:fill="FFFFFF"/>
        <w:spacing w:before="0" w:beforeAutospacing="0" w:after="0" w:afterAutospacing="0" w:line="590" w:lineRule="exact"/>
        <w:ind w:firstLine="516"/>
        <w:jc w:val="both"/>
        <w:rPr>
          <w:rFonts w:ascii="仿宋_GB2312" w:hAnsi="Times" w:eastAsia="仿宋_GB2312" w:cs="Times"/>
          <w:sz w:val="32"/>
          <w:szCs w:val="32"/>
          <w:shd w:val="clear" w:color="auto" w:fill="FFFFFF"/>
        </w:rPr>
      </w:pPr>
      <w:r>
        <w:rPr>
          <w:rFonts w:hint="eastAsia" w:ascii="仿宋_GB2312" w:hAnsi="Times" w:eastAsia="仿宋_GB2312" w:cs="Times"/>
          <w:sz w:val="32"/>
          <w:szCs w:val="32"/>
          <w:shd w:val="clear" w:color="auto" w:fill="FFFFFF"/>
        </w:rPr>
        <w:t>（二）《清单》未列明的轻微违法行为，符合《中华人民共和国行政处罚法》等法律、法规、规章规定的不予行政处罚条件的，应当经集体讨论决定，依法不予行政处罚。</w:t>
      </w:r>
    </w:p>
    <w:p>
      <w:pPr>
        <w:pStyle w:val="7"/>
        <w:spacing w:before="0" w:beforeAutospacing="0" w:after="0" w:afterAutospacing="0" w:line="590" w:lineRule="exact"/>
        <w:ind w:firstLine="640"/>
        <w:rPr>
          <w:rFonts w:ascii="仿宋_GB2312" w:hAnsi="Times" w:eastAsia="仿宋_GB2312" w:cs="Times"/>
          <w:sz w:val="32"/>
          <w:szCs w:val="32"/>
        </w:rPr>
      </w:pPr>
      <w:r>
        <w:rPr>
          <w:rFonts w:hint="eastAsia" w:ascii="仿宋_GB2312" w:hAnsi="Times" w:eastAsia="仿宋_GB2312" w:cs="Times"/>
          <w:sz w:val="32"/>
          <w:szCs w:val="32"/>
          <w:shd w:val="clear" w:color="auto" w:fill="FFFFFF"/>
        </w:rPr>
        <w:t>（三）对适用不予行政处罚的轻微违法行为，应急管理部门应当坚持处罚与教育相结合的原则，通过指导服务、批评教育、约谈警示、</w:t>
      </w:r>
      <w:r>
        <w:rPr>
          <w:rFonts w:hint="eastAsia" w:ascii="仿宋_GB2312" w:hAnsi="Times" w:eastAsia="仿宋_GB2312" w:cs="Times"/>
          <w:sz w:val="32"/>
          <w:szCs w:val="32"/>
        </w:rPr>
        <w:t>普法宣传</w:t>
      </w:r>
      <w:r>
        <w:rPr>
          <w:rFonts w:hint="eastAsia" w:ascii="仿宋_GB2312" w:hAnsi="Times" w:eastAsia="仿宋_GB2312" w:cs="Times"/>
          <w:sz w:val="32"/>
          <w:szCs w:val="32"/>
          <w:shd w:val="clear" w:color="auto" w:fill="FFFFFF"/>
        </w:rPr>
        <w:t>等措施，</w:t>
      </w:r>
      <w:r>
        <w:rPr>
          <w:rFonts w:hint="eastAsia" w:ascii="仿宋_GB2312" w:hAnsi="Times" w:eastAsia="仿宋_GB2312" w:cs="Times"/>
          <w:sz w:val="32"/>
          <w:szCs w:val="32"/>
        </w:rPr>
        <w:t>教育引导</w:t>
      </w:r>
      <w:r>
        <w:rPr>
          <w:rFonts w:hint="eastAsia" w:ascii="仿宋_GB2312" w:hAnsi="Times" w:eastAsia="仿宋_GB2312" w:cs="Times"/>
          <w:sz w:val="32"/>
          <w:szCs w:val="32"/>
          <w:shd w:val="clear" w:color="auto" w:fill="FFFFFF"/>
        </w:rPr>
        <w:t>生产经营单位依法合规开展生产经营活动。</w:t>
      </w:r>
      <w:r>
        <w:rPr>
          <w:rFonts w:hint="eastAsia" w:ascii="仿宋_GB2312" w:hAnsi="Times" w:eastAsia="仿宋_GB2312" w:cs="Times"/>
          <w:sz w:val="32"/>
          <w:szCs w:val="32"/>
        </w:rPr>
        <w:t>对当事人进行教育的过程应当制作相关记录并入卷归档。</w:t>
      </w:r>
    </w:p>
    <w:p>
      <w:pPr>
        <w:pStyle w:val="7"/>
        <w:spacing w:before="0" w:beforeAutospacing="0" w:after="0" w:afterAutospacing="0" w:line="590" w:lineRule="exact"/>
        <w:ind w:firstLine="640"/>
        <w:rPr>
          <w:rFonts w:ascii="仿宋_GB2312" w:hAnsi="Times" w:eastAsia="仿宋_GB2312" w:cs="Times"/>
          <w:sz w:val="32"/>
          <w:szCs w:val="32"/>
        </w:rPr>
      </w:pPr>
      <w:r>
        <w:rPr>
          <w:rFonts w:hint="eastAsia" w:ascii="仿宋_GB2312" w:hAnsi="Times" w:eastAsia="仿宋_GB2312" w:cs="Times"/>
          <w:sz w:val="32"/>
          <w:szCs w:val="32"/>
        </w:rPr>
        <w:t>（四）各级应急管理部门应当加强对不予行政处罚案件的监督，定期组织对《清单》实施情况进行效果评估。《清单》将根据实施情况和法律法规的变化进行动态调整。</w:t>
      </w:r>
    </w:p>
    <w:p>
      <w:pPr>
        <w:pStyle w:val="7"/>
        <w:spacing w:before="0" w:beforeAutospacing="0" w:after="0" w:afterAutospacing="0" w:line="590" w:lineRule="exact"/>
        <w:ind w:firstLine="640"/>
        <w:rPr>
          <w:rFonts w:ascii="Times New Roman" w:hAnsi="Times New Roman" w:eastAsia="仿宋_GB2312" w:cs="Times New Roman"/>
          <w:sz w:val="32"/>
          <w:szCs w:val="32"/>
        </w:rPr>
      </w:pPr>
      <w:r>
        <w:rPr>
          <w:rFonts w:hint="eastAsia" w:ascii="仿宋_GB2312" w:hAnsi="Times" w:eastAsia="仿宋_GB2312" w:cs="Times"/>
          <w:sz w:val="32"/>
          <w:szCs w:val="32"/>
          <w:shd w:val="clear" w:color="auto" w:fill="FFFFFF"/>
        </w:rPr>
        <w:t>本《清单》</w:t>
      </w:r>
      <w:r>
        <w:rPr>
          <w:rFonts w:hint="eastAsia" w:ascii="仿宋_GB2312" w:hAnsi="Times" w:eastAsia="仿宋_GB2312" w:cs="Times"/>
          <w:sz w:val="32"/>
          <w:szCs w:val="32"/>
        </w:rPr>
        <w:t>自</w:t>
      </w:r>
      <w:r>
        <w:rPr>
          <w:rFonts w:ascii="Times New Roman" w:hAnsi="Times New Roman" w:eastAsia="仿宋_GB2312" w:cs="Times New Roman"/>
          <w:sz w:val="32"/>
          <w:szCs w:val="32"/>
        </w:rPr>
        <w:t>2023年9月10日起施行，有效期至2025年9月9日。</w:t>
      </w:r>
    </w:p>
    <w:p>
      <w:pPr>
        <w:autoSpaceDE w:val="0"/>
        <w:autoSpaceDN w:val="0"/>
        <w:adjustRightInd w:val="0"/>
        <w:spacing w:line="580" w:lineRule="exact"/>
        <w:jc w:val="left"/>
        <w:rPr>
          <w:rFonts w:eastAsia="仿宋_GB2312" w:cs="Times New Roman"/>
          <w:sz w:val="32"/>
          <w:szCs w:val="32"/>
        </w:rPr>
      </w:pPr>
    </w:p>
    <w:p>
      <w:pPr>
        <w:autoSpaceDE w:val="0"/>
        <w:autoSpaceDN w:val="0"/>
        <w:adjustRightInd w:val="0"/>
        <w:spacing w:line="580" w:lineRule="exact"/>
        <w:ind w:firstLine="660"/>
        <w:jc w:val="left"/>
        <w:rPr>
          <w:rFonts w:ascii="仿宋_GB2312" w:hAnsi="Times" w:eastAsia="仿宋_GB2312" w:cs="Times"/>
          <w:sz w:val="32"/>
          <w:szCs w:val="32"/>
        </w:rPr>
      </w:pPr>
    </w:p>
    <w:p>
      <w:pPr>
        <w:autoSpaceDE w:val="0"/>
        <w:autoSpaceDN w:val="0"/>
        <w:adjustRightInd w:val="0"/>
        <w:spacing w:line="580" w:lineRule="exact"/>
        <w:ind w:firstLine="660"/>
        <w:jc w:val="left"/>
        <w:rPr>
          <w:rFonts w:ascii="仿宋_GB2312" w:hAnsi="Times" w:eastAsia="仿宋_GB2312" w:cs="Times"/>
          <w:sz w:val="32"/>
          <w:szCs w:val="32"/>
        </w:rPr>
      </w:pPr>
    </w:p>
    <w:p>
      <w:pPr>
        <w:autoSpaceDE w:val="0"/>
        <w:autoSpaceDN w:val="0"/>
        <w:adjustRightInd w:val="0"/>
        <w:spacing w:line="580" w:lineRule="exact"/>
        <w:jc w:val="left"/>
        <w:rPr>
          <w:rFonts w:ascii="仿宋_GB2312" w:hAnsi="Times" w:eastAsia="仿宋_GB2312" w:cs="Times"/>
          <w:sz w:val="32"/>
          <w:szCs w:val="32"/>
        </w:rPr>
      </w:pPr>
    </w:p>
    <w:p>
      <w:pPr>
        <w:autoSpaceDE w:val="0"/>
        <w:autoSpaceDN w:val="0"/>
        <w:adjustRightInd w:val="0"/>
        <w:jc w:val="left"/>
        <w:rPr>
          <w:rFonts w:ascii="仿宋_GB2312" w:hAnsi="Times" w:eastAsia="仿宋_GB2312" w:cs="Times"/>
          <w:sz w:val="32"/>
          <w:szCs w:val="32"/>
        </w:rPr>
        <w:sectPr>
          <w:pgSz w:w="11906" w:h="16838"/>
          <w:pgMar w:top="1440" w:right="1797" w:bottom="1440" w:left="1797" w:header="851" w:footer="992" w:gutter="0"/>
          <w:cols w:space="425" w:num="1"/>
          <w:docGrid w:type="lines" w:linePitch="312" w:charSpace="0"/>
        </w:sectPr>
      </w:pPr>
    </w:p>
    <w:p>
      <w:pPr>
        <w:spacing w:line="590" w:lineRule="exact"/>
        <w:ind w:right="641"/>
        <w:jc w:val="left"/>
        <w:rPr>
          <w:rFonts w:hAnsi="黑体" w:eastAsia="黑体" w:cs="Times New Roman"/>
          <w:color w:val="000000" w:themeColor="text1"/>
          <w:sz w:val="32"/>
          <w:szCs w:val="32"/>
        </w:rPr>
      </w:pPr>
      <w:r>
        <w:rPr>
          <w:rFonts w:hint="eastAsia" w:hAnsi="黑体" w:eastAsia="黑体" w:cs="Times New Roman"/>
          <w:color w:val="000000" w:themeColor="text1"/>
          <w:sz w:val="32"/>
          <w:szCs w:val="32"/>
        </w:rPr>
        <w:t>附件</w:t>
      </w:r>
    </w:p>
    <w:p>
      <w:pPr>
        <w:spacing w:line="590" w:lineRule="exact"/>
        <w:ind w:right="641"/>
        <w:jc w:val="left"/>
        <w:rPr>
          <w:rFonts w:hAnsi="黑体" w:eastAsia="黑体" w:cs="Times New Roman"/>
          <w:color w:val="000000" w:themeColor="text1"/>
          <w:sz w:val="32"/>
          <w:szCs w:val="32"/>
        </w:rPr>
      </w:pPr>
    </w:p>
    <w:p>
      <w:pPr>
        <w:spacing w:line="590" w:lineRule="exact"/>
        <w:ind w:right="641"/>
        <w:jc w:val="center"/>
        <w:rPr>
          <w:rFonts w:hAnsi="黑体" w:eastAsia="黑体" w:cs="Times New Roman"/>
          <w:color w:val="000000" w:themeColor="text1"/>
          <w:sz w:val="32"/>
          <w:szCs w:val="32"/>
        </w:rPr>
      </w:pPr>
      <w:r>
        <w:rPr>
          <w:rFonts w:eastAsia="方正小标宋_GBK" w:cs="Times New Roman"/>
          <w:color w:val="000000" w:themeColor="text1"/>
          <w:sz w:val="44"/>
          <w:szCs w:val="44"/>
        </w:rPr>
        <w:t>安全生产</w:t>
      </w:r>
      <w:r>
        <w:rPr>
          <w:rFonts w:hint="eastAsia" w:eastAsia="方正小标宋_GBK" w:cs="Times New Roman"/>
          <w:color w:val="000000" w:themeColor="text1"/>
          <w:sz w:val="44"/>
          <w:szCs w:val="44"/>
        </w:rPr>
        <w:t>领域</w:t>
      </w:r>
      <w:r>
        <w:rPr>
          <w:rFonts w:eastAsia="方正小标宋_GBK" w:cs="Times New Roman"/>
          <w:color w:val="000000" w:themeColor="text1"/>
          <w:sz w:val="44"/>
          <w:szCs w:val="44"/>
        </w:rPr>
        <w:t>轻微违法行为不予行政处罚事项清单</w:t>
      </w:r>
    </w:p>
    <w:p>
      <w:pPr>
        <w:spacing w:line="600" w:lineRule="exact"/>
        <w:ind w:right="720"/>
        <w:jc w:val="center"/>
        <w:rPr>
          <w:rFonts w:eastAsia="黑体" w:cs="Times New Roman"/>
          <w:b/>
          <w:bCs/>
          <w:color w:val="000000" w:themeColor="text1"/>
          <w:sz w:val="32"/>
          <w:szCs w:val="32"/>
        </w:rPr>
      </w:pPr>
    </w:p>
    <w:tbl>
      <w:tblPr>
        <w:tblStyle w:val="18"/>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368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黑体" w:hAnsi="黑体" w:eastAsia="黑体" w:cs="Times New Roman"/>
                <w:bCs/>
                <w:color w:val="000000" w:themeColor="text1"/>
                <w:kern w:val="0"/>
                <w:sz w:val="28"/>
                <w:szCs w:val="28"/>
              </w:rPr>
            </w:pPr>
            <w:r>
              <w:rPr>
                <w:rFonts w:hint="eastAsia" w:ascii="黑体" w:hAnsi="黑体" w:eastAsia="黑体" w:cs="Times New Roman"/>
                <w:bCs/>
                <w:color w:val="000000" w:themeColor="text1"/>
                <w:kern w:val="0"/>
                <w:sz w:val="28"/>
                <w:szCs w:val="28"/>
              </w:rPr>
              <w:t>序号</w:t>
            </w:r>
          </w:p>
        </w:tc>
        <w:tc>
          <w:tcPr>
            <w:tcW w:w="2126" w:type="dxa"/>
            <w:vAlign w:val="center"/>
          </w:tcPr>
          <w:p>
            <w:pPr>
              <w:spacing w:line="360" w:lineRule="exact"/>
              <w:jc w:val="center"/>
              <w:rPr>
                <w:rFonts w:ascii="黑体" w:hAnsi="黑体" w:eastAsia="黑体" w:cs="Times New Roman"/>
                <w:bCs/>
                <w:color w:val="000000" w:themeColor="text1"/>
                <w:kern w:val="0"/>
                <w:sz w:val="28"/>
                <w:szCs w:val="28"/>
              </w:rPr>
            </w:pPr>
            <w:r>
              <w:rPr>
                <w:rFonts w:hint="eastAsia" w:ascii="黑体" w:hAnsi="黑体" w:eastAsia="黑体" w:cs="Times New Roman"/>
                <w:bCs/>
                <w:color w:val="000000" w:themeColor="text1"/>
                <w:kern w:val="0"/>
                <w:sz w:val="28"/>
                <w:szCs w:val="28"/>
              </w:rPr>
              <w:t>违法行为</w:t>
            </w:r>
          </w:p>
        </w:tc>
        <w:tc>
          <w:tcPr>
            <w:tcW w:w="3686" w:type="dxa"/>
            <w:vAlign w:val="center"/>
          </w:tcPr>
          <w:p>
            <w:pPr>
              <w:spacing w:line="360" w:lineRule="exact"/>
              <w:jc w:val="center"/>
              <w:rPr>
                <w:rFonts w:ascii="黑体" w:hAnsi="黑体" w:eastAsia="黑体" w:cs="Times New Roman"/>
                <w:bCs/>
                <w:color w:val="000000" w:themeColor="text1"/>
                <w:kern w:val="0"/>
                <w:sz w:val="28"/>
                <w:szCs w:val="28"/>
              </w:rPr>
            </w:pPr>
            <w:r>
              <w:rPr>
                <w:rFonts w:hint="eastAsia" w:ascii="黑体" w:hAnsi="黑体" w:eastAsia="黑体" w:cs="Times New Roman"/>
                <w:bCs/>
                <w:color w:val="000000" w:themeColor="text1"/>
                <w:kern w:val="0"/>
                <w:sz w:val="28"/>
                <w:szCs w:val="28"/>
              </w:rPr>
              <w:t>适用条件</w:t>
            </w:r>
          </w:p>
        </w:tc>
        <w:tc>
          <w:tcPr>
            <w:tcW w:w="7371" w:type="dxa"/>
            <w:vAlign w:val="center"/>
          </w:tcPr>
          <w:p>
            <w:pPr>
              <w:spacing w:line="360" w:lineRule="exact"/>
              <w:jc w:val="center"/>
              <w:rPr>
                <w:rFonts w:ascii="黑体" w:hAnsi="黑体" w:eastAsia="黑体" w:cs="Times New Roman"/>
                <w:bCs/>
                <w:color w:val="000000" w:themeColor="text1"/>
                <w:kern w:val="0"/>
                <w:sz w:val="28"/>
                <w:szCs w:val="28"/>
              </w:rPr>
            </w:pPr>
            <w:r>
              <w:rPr>
                <w:rFonts w:hint="eastAsia" w:ascii="黑体" w:hAnsi="黑体" w:eastAsia="黑体" w:cs="Times New Roman"/>
                <w:bCs/>
                <w:color w:val="000000" w:themeColor="text1"/>
                <w:kern w:val="0"/>
                <w:sz w:val="28"/>
                <w:szCs w:val="28"/>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w:t>
            </w:r>
          </w:p>
        </w:tc>
        <w:tc>
          <w:tcPr>
            <w:tcW w:w="2126" w:type="dxa"/>
            <w:vAlign w:val="center"/>
          </w:tcPr>
          <w:p>
            <w:pPr>
              <w:spacing w:line="360" w:lineRule="exact"/>
              <w:jc w:val="left"/>
              <w:rPr>
                <w:rFonts w:ascii="仿宋_GB2312"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生产经营单位未如实记录安全生产教育和培训情况。</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hAnsi="仿宋" w:eastAsia="仿宋_GB2312" w:cs="Times New Roman"/>
                <w:color w:val="000000" w:themeColor="text1"/>
                <w:kern w:val="0"/>
                <w:sz w:val="28"/>
                <w:szCs w:val="28"/>
              </w:rPr>
              <w:t>1.</w:t>
            </w:r>
            <w:r>
              <w:rPr>
                <w:rFonts w:hint="eastAsia" w:ascii="仿宋_GB2312" w:eastAsia="仿宋_GB2312" w:cs="Times New Roman"/>
                <w:kern w:val="0"/>
                <w:sz w:val="28"/>
                <w:szCs w:val="28"/>
              </w:rPr>
              <w:t>初次违法且危害后果轻微并及时改正；</w:t>
            </w:r>
          </w:p>
          <w:p>
            <w:pPr>
              <w:spacing w:line="36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r>
              <w:rPr>
                <w:rFonts w:hint="eastAsia" w:ascii="仿宋_GB2312" w:hAnsi="仿宋" w:eastAsia="仿宋_GB2312" w:cs="Times New Roman"/>
                <w:color w:val="000000" w:themeColor="text1"/>
                <w:kern w:val="0"/>
                <w:sz w:val="28"/>
                <w:szCs w:val="28"/>
              </w:rPr>
              <w:t>有证据证明</w:t>
            </w:r>
            <w:r>
              <w:rPr>
                <w:rFonts w:hint="eastAsia" w:ascii="仿宋_GB2312" w:eastAsia="仿宋_GB2312" w:cs="Times New Roman"/>
                <w:color w:val="000000" w:themeColor="text1"/>
                <w:kern w:val="0"/>
                <w:sz w:val="28"/>
                <w:szCs w:val="28"/>
              </w:rPr>
              <w:t>已按规定开展</w:t>
            </w:r>
            <w:r>
              <w:rPr>
                <w:rFonts w:hint="eastAsia" w:ascii="仿宋_GB2312" w:hAnsi="仿宋" w:eastAsia="仿宋_GB2312" w:cs="Times New Roman"/>
                <w:color w:val="000000" w:themeColor="text1"/>
                <w:kern w:val="0"/>
                <w:sz w:val="28"/>
                <w:szCs w:val="28"/>
              </w:rPr>
              <w:t>安全生产教育和培训，但记录内容不规范、简化或有遗漏。</w:t>
            </w:r>
          </w:p>
        </w:tc>
        <w:tc>
          <w:tcPr>
            <w:tcW w:w="7371" w:type="dxa"/>
            <w:vAlign w:val="center"/>
          </w:tcPr>
          <w:p>
            <w:pPr>
              <w:spacing w:line="360" w:lineRule="exact"/>
              <w:jc w:val="left"/>
              <w:rPr>
                <w:rFonts w:ascii="仿宋_GB2312" w:hAnsi="仿宋" w:eastAsia="仿宋_GB2312" w:cs="Times New Roman"/>
                <w:bCs/>
                <w:color w:val="000000" w:themeColor="text1"/>
                <w:kern w:val="0"/>
                <w:sz w:val="28"/>
                <w:szCs w:val="28"/>
              </w:rPr>
            </w:pPr>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rPr>
              <w:t>《中华人民共和国安全生产法》</w:t>
            </w:r>
            <w:r>
              <w:rPr>
                <w:rFonts w:hint="eastAsia" w:ascii="仿宋_GB2312" w:hAnsi="仿宋" w:eastAsia="仿宋_GB2312" w:cs="Times New Roman"/>
                <w:bCs/>
                <w:color w:val="000000" w:themeColor="text1"/>
                <w:kern w:val="0"/>
                <w:sz w:val="28"/>
                <w:szCs w:val="28"/>
              </w:rPr>
              <w:t>第二十八条第四款：</w:t>
            </w:r>
            <w:r>
              <w:rPr>
                <w:rFonts w:hint="eastAsia" w:ascii="仿宋_GB2312" w:hAnsi="仿宋" w:eastAsia="仿宋_GB2312" w:cs="Times New Roman"/>
                <w:color w:val="000000" w:themeColor="text1"/>
                <w:kern w:val="0"/>
                <w:sz w:val="28"/>
                <w:szCs w:val="28"/>
              </w:rPr>
              <w:t>生产经营单位应当建立安全生产教育和培训档案，如实记录安全生产教育和培训的时间、内容、参加人员以及考核结果等情况。 </w:t>
            </w:r>
          </w:p>
          <w:p>
            <w:pPr>
              <w:spacing w:line="360" w:lineRule="exact"/>
              <w:ind w:left="-107" w:leftChars="-51"/>
              <w:jc w:val="left"/>
              <w:rPr>
                <w:rFonts w:ascii="仿宋_GB2312" w:hAnsi="仿宋" w:eastAsia="仿宋_GB2312" w:cs="Times New Roman"/>
                <w:b/>
                <w:bCs/>
                <w:color w:val="000000" w:themeColor="text1"/>
                <w:kern w:val="0"/>
                <w:sz w:val="28"/>
                <w:szCs w:val="28"/>
              </w:rPr>
            </w:pPr>
            <w:r>
              <w:rPr>
                <w:rFonts w:hint="eastAsia" w:ascii="仿宋_GB2312" w:hAnsi="仿宋" w:eastAsia="仿宋_GB2312" w:cs="Times New Roman"/>
                <w:bCs/>
                <w:color w:val="000000" w:themeColor="text1"/>
                <w:kern w:val="0"/>
                <w:sz w:val="28"/>
                <w:szCs w:val="28"/>
              </w:rPr>
              <w:t>【处罚依据】</w:t>
            </w:r>
            <w:r>
              <w:rPr>
                <w:rFonts w:hint="eastAsia" w:ascii="仿宋_GB2312" w:hAnsi="仿宋" w:eastAsia="仿宋_GB2312" w:cs="Times New Roman"/>
                <w:color w:val="000000" w:themeColor="text1"/>
                <w:kern w:val="0"/>
                <w:sz w:val="28"/>
                <w:szCs w:val="28"/>
              </w:rPr>
              <w:t>《中华人民共和国安全生产法》</w:t>
            </w:r>
            <w:r>
              <w:rPr>
                <w:rFonts w:hint="eastAsia" w:ascii="仿宋_GB2312" w:hAnsi="仿宋" w:eastAsia="仿宋_GB2312" w:cs="Times New Roman"/>
                <w:bCs/>
                <w:color w:val="000000" w:themeColor="text1"/>
                <w:kern w:val="0"/>
                <w:sz w:val="28"/>
                <w:szCs w:val="28"/>
              </w:rPr>
              <w:t>第九十七条第四项：</w:t>
            </w:r>
            <w:r>
              <w:rPr>
                <w:rFonts w:hint="eastAsia" w:ascii="仿宋_GB2312" w:hAnsi="仿宋" w:eastAsia="仿宋_GB2312" w:cs="Times New Roman"/>
                <w:color w:val="000000" w:themeColor="text1"/>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360" w:lineRule="exact"/>
              <w:ind w:firstLine="560" w:firstLineChars="200"/>
              <w:jc w:val="left"/>
              <w:rPr>
                <w:rFonts w:ascii="仿宋_GB2312"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（四）未如实记录安全生产教育和培训情况的；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p>
        </w:tc>
        <w:tc>
          <w:tcPr>
            <w:tcW w:w="2126" w:type="dxa"/>
            <w:vAlign w:val="center"/>
          </w:tcPr>
          <w:p>
            <w:pPr>
              <w:spacing w:line="360" w:lineRule="exact"/>
              <w:jc w:val="left"/>
              <w:rPr>
                <w:rFonts w:ascii="仿宋_GB2312"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生产经营单位未将事故隐患排查治理情况如实记录或者未按照规定向从业人员通报。</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hAnsi="仿宋" w:eastAsia="仿宋_GB2312" w:cs="Times New Roman"/>
                <w:color w:val="000000" w:themeColor="text1"/>
                <w:kern w:val="0"/>
                <w:sz w:val="28"/>
                <w:szCs w:val="28"/>
              </w:rPr>
              <w:t>1.</w:t>
            </w:r>
            <w:r>
              <w:rPr>
                <w:rFonts w:hint="eastAsia" w:ascii="仿宋_GB2312" w:eastAsia="仿宋_GB2312" w:cs="Times New Roman"/>
                <w:kern w:val="0"/>
                <w:sz w:val="28"/>
                <w:szCs w:val="28"/>
              </w:rPr>
              <w:t>初次违法且危害后果轻微并及时改正；</w:t>
            </w:r>
          </w:p>
          <w:p>
            <w:pPr>
              <w:spacing w:line="36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r>
              <w:rPr>
                <w:rFonts w:hint="eastAsia" w:ascii="仿宋_GB2312" w:hAnsi="仿宋" w:eastAsia="仿宋_GB2312" w:cs="Times New Roman"/>
                <w:color w:val="000000" w:themeColor="text1"/>
                <w:kern w:val="0"/>
                <w:sz w:val="28"/>
                <w:szCs w:val="28"/>
              </w:rPr>
              <w:t>有证据证明已开展事故隐患排查治理工作，但记录内容不规范、简化、有遗漏，或者已如实记录但仅向部分从业人员通报、未向全体从业人员通报。</w:t>
            </w:r>
          </w:p>
        </w:tc>
        <w:tc>
          <w:tcPr>
            <w:tcW w:w="7371" w:type="dxa"/>
            <w:vAlign w:val="center"/>
          </w:tcPr>
          <w:p>
            <w:pPr>
              <w:spacing w:line="360" w:lineRule="exact"/>
              <w:jc w:val="left"/>
              <w:rPr>
                <w:rFonts w:ascii="仿宋_GB2312" w:hAnsi="仿宋" w:eastAsia="仿宋_GB2312" w:cs="Times New Roman"/>
                <w:bCs/>
                <w:color w:val="000000" w:themeColor="text1"/>
                <w:kern w:val="0"/>
                <w:sz w:val="28"/>
                <w:szCs w:val="28"/>
              </w:rPr>
            </w:pPr>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rPr>
              <w:t>《中华人民共和国安全生产法》</w:t>
            </w:r>
            <w:r>
              <w:rPr>
                <w:rFonts w:hint="eastAsia" w:ascii="仿宋_GB2312" w:hAnsi="仿宋" w:eastAsia="仿宋_GB2312" w:cs="Times New Roman"/>
                <w:bCs/>
                <w:color w:val="000000" w:themeColor="text1"/>
                <w:kern w:val="0"/>
                <w:sz w:val="28"/>
                <w:szCs w:val="28"/>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360" w:lineRule="exact"/>
              <w:jc w:val="left"/>
              <w:rPr>
                <w:rFonts w:ascii="仿宋_GB2312" w:eastAsia="仿宋_GB2312" w:cs="Times New Roman"/>
                <w:color w:val="000000" w:themeColor="text1"/>
                <w:kern w:val="0"/>
                <w:sz w:val="28"/>
                <w:szCs w:val="28"/>
              </w:rPr>
            </w:pPr>
            <w:r>
              <w:rPr>
                <w:rFonts w:hint="eastAsia" w:ascii="仿宋_GB2312" w:hAnsi="仿宋" w:eastAsia="仿宋_GB2312" w:cs="Times New Roman"/>
                <w:bCs/>
                <w:color w:val="000000" w:themeColor="text1"/>
                <w:kern w:val="0"/>
                <w:sz w:val="28"/>
                <w:szCs w:val="28"/>
              </w:rPr>
              <w:t>【处罚依据】</w:t>
            </w:r>
            <w:r>
              <w:rPr>
                <w:rFonts w:hint="eastAsia" w:ascii="仿宋_GB2312" w:hAnsi="仿宋" w:eastAsia="仿宋_GB2312" w:cs="Times New Roman"/>
                <w:color w:val="000000" w:themeColor="text1"/>
                <w:kern w:val="0"/>
                <w:sz w:val="28"/>
                <w:szCs w:val="28"/>
              </w:rPr>
              <w:t>《中华人民共和国安全生产法》</w:t>
            </w:r>
            <w:r>
              <w:rPr>
                <w:rFonts w:hint="eastAsia" w:ascii="仿宋_GB2312" w:hAnsi="仿宋" w:eastAsia="仿宋_GB2312" w:cs="Times New Roman"/>
                <w:bCs/>
                <w:color w:val="000000" w:themeColor="text1"/>
                <w:kern w:val="0"/>
                <w:sz w:val="28"/>
                <w:szCs w:val="28"/>
              </w:rPr>
              <w:t>第九十七条第五项：</w:t>
            </w:r>
            <w:r>
              <w:rPr>
                <w:rFonts w:hint="eastAsia" w:ascii="仿宋_GB2312" w:hAnsi="仿宋" w:eastAsia="仿宋_GB2312" w:cs="Times New Roman"/>
                <w:color w:val="000000" w:themeColor="text1"/>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360" w:lineRule="exact"/>
              <w:ind w:firstLine="560" w:firstLineChars="200"/>
              <w:jc w:val="left"/>
              <w:rPr>
                <w:rFonts w:ascii="仿宋_GB2312"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（五）未将事故隐患排查治理情况如实记录或者未向从业人员通报的；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3</w:t>
            </w:r>
          </w:p>
        </w:tc>
        <w:tc>
          <w:tcPr>
            <w:tcW w:w="2126" w:type="dxa"/>
            <w:vAlign w:val="center"/>
          </w:tcPr>
          <w:p>
            <w:pPr>
              <w:spacing w:line="360" w:lineRule="exact"/>
              <w:jc w:val="left"/>
              <w:rPr>
                <w:rFonts w:ascii="仿宋_GB2312" w:hAnsi="仿宋"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lang w:val="zh-CN"/>
              </w:rPr>
              <w:t>生产经营单位未按照规定制定生产安全事故应急救援预案。</w:t>
            </w:r>
          </w:p>
        </w:tc>
        <w:tc>
          <w:tcPr>
            <w:tcW w:w="3686" w:type="dxa"/>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w:t>
            </w:r>
            <w:r>
              <w:rPr>
                <w:rFonts w:ascii="仿宋_GB2312" w:eastAsia="仿宋_GB2312" w:cs="Times New Roman"/>
                <w:kern w:val="0"/>
                <w:sz w:val="28"/>
                <w:szCs w:val="28"/>
              </w:rPr>
              <w:t>.</w:t>
            </w:r>
            <w:r>
              <w:rPr>
                <w:rFonts w:hint="eastAsia" w:ascii="仿宋_GB2312" w:eastAsia="仿宋_GB2312" w:cs="Times New Roman"/>
                <w:kern w:val="0"/>
                <w:sz w:val="28"/>
                <w:szCs w:val="28"/>
              </w:rPr>
              <w:t>已按规定开展应急预案演练；</w:t>
            </w:r>
          </w:p>
          <w:p>
            <w:pPr>
              <w:spacing w:line="360" w:lineRule="exact"/>
              <w:rPr>
                <w:rFonts w:ascii="仿宋_GB2312" w:hAnsi="仿宋" w:eastAsia="仿宋_GB2312" w:cs="Times New Roman"/>
                <w:color w:val="000000" w:themeColor="text1"/>
                <w:kern w:val="0"/>
                <w:sz w:val="28"/>
                <w:szCs w:val="28"/>
              </w:rPr>
            </w:pPr>
            <w:r>
              <w:rPr>
                <w:rFonts w:hint="eastAsia" w:ascii="仿宋_GB2312" w:eastAsia="仿宋_GB2312" w:cs="Times New Roman"/>
                <w:kern w:val="0"/>
                <w:sz w:val="28"/>
                <w:szCs w:val="28"/>
              </w:rPr>
              <w:t>3.已经制定事故应急救援预案，符合本单位安全生产实际情况和危险性分析情况，仅预案编制不规范。</w:t>
            </w:r>
          </w:p>
        </w:tc>
        <w:tc>
          <w:tcPr>
            <w:tcW w:w="7371" w:type="dxa"/>
          </w:tcPr>
          <w:p>
            <w:pPr>
              <w:pStyle w:val="19"/>
              <w:spacing w:line="360" w:lineRule="exact"/>
              <w:ind w:firstLine="0"/>
              <w:rPr>
                <w:rStyle w:val="20"/>
                <w:rFonts w:ascii="仿宋_GB2312" w:hAnsi="仿宋" w:eastAsia="仿宋_GB2312" w:cs="Times New Roman"/>
                <w:color w:val="000000" w:themeColor="text1"/>
                <w:sz w:val="28"/>
                <w:szCs w:val="28"/>
                <w:lang w:val="zh-CN"/>
              </w:rPr>
            </w:pPr>
            <w:r>
              <w:rPr>
                <w:rFonts w:hint="eastAsia" w:ascii="仿宋_GB2312" w:hAnsi="仿宋" w:eastAsia="仿宋_GB2312" w:cs="Times New Roman"/>
                <w:bCs/>
                <w:color w:val="000000" w:themeColor="text1"/>
                <w:sz w:val="28"/>
                <w:szCs w:val="28"/>
              </w:rPr>
              <w:t>【法律规定】</w:t>
            </w:r>
            <w:r>
              <w:rPr>
                <w:rFonts w:hint="eastAsia" w:ascii="仿宋_GB2312" w:hAnsi="仿宋" w:eastAsia="仿宋_GB2312" w:cs="Times New Roman"/>
                <w:color w:val="000000" w:themeColor="text1"/>
                <w:sz w:val="28"/>
                <w:szCs w:val="28"/>
              </w:rPr>
              <w:t>《中华人民共和国安全生产法》</w:t>
            </w:r>
            <w:r>
              <w:rPr>
                <w:rStyle w:val="20"/>
                <w:rFonts w:hint="eastAsia" w:ascii="仿宋_GB2312" w:hAnsi="仿宋" w:eastAsia="仿宋_GB2312" w:cs="Times New Roman"/>
                <w:color w:val="000000" w:themeColor="text1"/>
                <w:sz w:val="28"/>
                <w:szCs w:val="28"/>
                <w:lang w:val="zh-CN"/>
              </w:rPr>
              <w:t>第八十一条：生产经营单位应当制定本单位生产安全事故应急救援预案，与所在地县级以上地方人民政府组织制定的生产安全事故应急救援预案相衔接，并定期组织演练。 </w:t>
            </w:r>
          </w:p>
          <w:p>
            <w:pPr>
              <w:pStyle w:val="19"/>
              <w:spacing w:line="360" w:lineRule="exact"/>
              <w:ind w:firstLine="0"/>
              <w:rPr>
                <w:rStyle w:val="20"/>
                <w:rFonts w:ascii="仿宋_GB2312" w:hAnsi="仿宋" w:eastAsia="仿宋_GB2312" w:cs="Times New Roman"/>
                <w:color w:val="000000" w:themeColor="text1"/>
                <w:sz w:val="28"/>
                <w:szCs w:val="28"/>
                <w:lang w:val="zh-CN"/>
              </w:rPr>
            </w:pPr>
            <w:r>
              <w:rPr>
                <w:rFonts w:hint="eastAsia" w:ascii="仿宋_GB2312" w:hAnsi="仿宋" w:eastAsia="仿宋_GB2312" w:cs="Times New Roman"/>
                <w:bCs/>
                <w:color w:val="000000" w:themeColor="text1"/>
                <w:sz w:val="28"/>
                <w:szCs w:val="28"/>
              </w:rPr>
              <w:t>【处罚依据】</w:t>
            </w:r>
            <w:r>
              <w:rPr>
                <w:rFonts w:hint="eastAsia" w:ascii="仿宋_GB2312" w:hAnsi="仿宋" w:eastAsia="仿宋_GB2312" w:cs="Times New Roman"/>
                <w:color w:val="000000" w:themeColor="text1"/>
                <w:sz w:val="28"/>
                <w:szCs w:val="28"/>
              </w:rPr>
              <w:t>《中华人民共和国安全生产法》</w:t>
            </w:r>
            <w:r>
              <w:rPr>
                <w:rStyle w:val="20"/>
                <w:rFonts w:hint="eastAsia" w:ascii="仿宋_GB2312" w:hAnsi="仿宋" w:eastAsia="仿宋_GB2312" w:cs="Times New Roman"/>
                <w:color w:val="000000" w:themeColor="text1"/>
                <w:sz w:val="28"/>
                <w:szCs w:val="28"/>
                <w:lang w:val="zh-CN"/>
              </w:rPr>
              <w:t>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19"/>
              <w:spacing w:line="360" w:lineRule="exact"/>
              <w:ind w:firstLine="560" w:firstLineChars="200"/>
              <w:rPr>
                <w:rFonts w:cs="Times New Roman"/>
                <w:lang w:val="zh-CN"/>
              </w:rPr>
            </w:pPr>
            <w:r>
              <w:rPr>
                <w:rStyle w:val="20"/>
                <w:rFonts w:hint="eastAsia" w:ascii="仿宋_GB2312" w:hAnsi="仿宋" w:eastAsia="仿宋_GB2312" w:cs="Times New Roman"/>
                <w:color w:val="000000" w:themeColor="text1"/>
                <w:sz w:val="28"/>
                <w:szCs w:val="28"/>
                <w:lang w:val="zh-CN"/>
              </w:rPr>
              <w:t>（六）未按照规定制定生产安全事故应急救援预案或者未定期组织演练的。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4</w:t>
            </w:r>
          </w:p>
        </w:tc>
        <w:tc>
          <w:tcPr>
            <w:tcW w:w="2126" w:type="dxa"/>
            <w:vAlign w:val="center"/>
          </w:tcPr>
          <w:p>
            <w:pPr>
              <w:spacing w:line="360" w:lineRule="exact"/>
              <w:jc w:val="left"/>
              <w:rPr>
                <w:rFonts w:ascii="仿宋_GB2312" w:hAnsi="仿宋"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生产经营单位</w:t>
            </w:r>
            <w:r>
              <w:rPr>
                <w:rFonts w:eastAsia="仿宋_GB2312" w:cs="Times New Roman"/>
                <w:kern w:val="0"/>
                <w:sz w:val="28"/>
                <w:szCs w:val="28"/>
              </w:rPr>
              <w:t>未按照规定定期组织应急预案演练</w:t>
            </w:r>
            <w:r>
              <w:rPr>
                <w:rFonts w:hint="eastAsia" w:eastAsia="仿宋_GB2312" w:cs="Times New Roman"/>
                <w:kern w:val="0"/>
                <w:sz w:val="28"/>
                <w:szCs w:val="28"/>
              </w:rPr>
              <w:t>。</w:t>
            </w:r>
          </w:p>
        </w:tc>
        <w:tc>
          <w:tcPr>
            <w:tcW w:w="3686" w:type="dxa"/>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w:t>
            </w:r>
            <w:r>
              <w:rPr>
                <w:rFonts w:hint="eastAsia" w:ascii="仿宋_GB2312" w:hAnsi="仿宋" w:eastAsia="仿宋_GB2312" w:cs="Times New Roman"/>
                <w:color w:val="000000" w:themeColor="text1"/>
                <w:kern w:val="0"/>
                <w:sz w:val="28"/>
                <w:szCs w:val="28"/>
              </w:rPr>
              <w:t>有证据证明</w:t>
            </w:r>
            <w:r>
              <w:rPr>
                <w:rFonts w:hint="eastAsia" w:ascii="仿宋_GB2312" w:eastAsia="仿宋_GB2312" w:cs="Times New Roman"/>
                <w:kern w:val="0"/>
                <w:sz w:val="28"/>
                <w:szCs w:val="28"/>
              </w:rPr>
              <w:t>已开展过应急预案演练，但演练次数不符合《生产安全事故应急预案管理办法》第三十三条要求的；</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3.矿山、金属冶炼企业，危险物品的生产、经营（带储存设施）、储存企业，宾馆、商场等人员密集场所经营单位除外。</w:t>
            </w:r>
          </w:p>
        </w:tc>
        <w:tc>
          <w:tcPr>
            <w:tcW w:w="7371" w:type="dxa"/>
          </w:tcPr>
          <w:p>
            <w:pPr>
              <w:pStyle w:val="19"/>
              <w:spacing w:line="360" w:lineRule="exact"/>
              <w:ind w:firstLine="0"/>
              <w:rPr>
                <w:rStyle w:val="20"/>
                <w:rFonts w:ascii="仿宋_GB2312" w:hAnsi="仿宋" w:eastAsia="仿宋_GB2312" w:cs="Times New Roman"/>
                <w:color w:val="000000" w:themeColor="text1"/>
                <w:sz w:val="28"/>
                <w:szCs w:val="28"/>
                <w:lang w:val="zh-CN"/>
              </w:rPr>
            </w:pPr>
            <w:r>
              <w:rPr>
                <w:rFonts w:hint="eastAsia" w:ascii="仿宋_GB2312" w:hAnsi="仿宋" w:eastAsia="仿宋_GB2312" w:cs="Times New Roman"/>
                <w:bCs/>
                <w:color w:val="000000" w:themeColor="text1"/>
                <w:sz w:val="28"/>
                <w:szCs w:val="28"/>
              </w:rPr>
              <w:t>【法律规定】</w:t>
            </w:r>
            <w:r>
              <w:rPr>
                <w:rFonts w:hint="eastAsia" w:ascii="仿宋_GB2312" w:hAnsi="仿宋" w:eastAsia="仿宋_GB2312" w:cs="Times New Roman"/>
                <w:color w:val="000000" w:themeColor="text1"/>
                <w:sz w:val="28"/>
                <w:szCs w:val="28"/>
              </w:rPr>
              <w:t>《中华人民共和国安全生产法》</w:t>
            </w:r>
            <w:r>
              <w:rPr>
                <w:rStyle w:val="20"/>
                <w:rFonts w:hint="eastAsia" w:ascii="仿宋_GB2312" w:hAnsi="仿宋" w:eastAsia="仿宋_GB2312" w:cs="Times New Roman"/>
                <w:color w:val="000000" w:themeColor="text1"/>
                <w:sz w:val="28"/>
                <w:szCs w:val="28"/>
                <w:lang w:val="zh-CN"/>
              </w:rPr>
              <w:t>第八十一条：生产经营单位应当制定本单位生产安全事故应急救援预案，与所在地县级以上地方人民政府组织制定的生产安全事故应急救援预案相衔接，并定期组织演练。</w:t>
            </w:r>
          </w:p>
          <w:p>
            <w:pPr>
              <w:pStyle w:val="19"/>
              <w:spacing w:line="360" w:lineRule="exact"/>
              <w:ind w:firstLine="0"/>
              <w:rPr>
                <w:rStyle w:val="20"/>
                <w:rFonts w:ascii="仿宋_GB2312" w:hAnsi="仿宋" w:eastAsia="仿宋_GB2312" w:cs="Times New Roman"/>
                <w:color w:val="000000" w:themeColor="text1"/>
                <w:sz w:val="28"/>
                <w:szCs w:val="28"/>
                <w:lang w:val="zh-CN"/>
              </w:rPr>
            </w:pPr>
            <w:r>
              <w:rPr>
                <w:rFonts w:hint="eastAsia" w:ascii="仿宋_GB2312" w:hAnsi="仿宋" w:eastAsia="仿宋_GB2312" w:cs="Times New Roman"/>
                <w:bCs/>
                <w:color w:val="000000" w:themeColor="text1"/>
                <w:sz w:val="28"/>
                <w:szCs w:val="28"/>
              </w:rPr>
              <w:t>【处罚依据】</w:t>
            </w:r>
            <w:r>
              <w:rPr>
                <w:rFonts w:hint="eastAsia" w:ascii="仿宋_GB2312" w:hAnsi="仿宋" w:eastAsia="仿宋_GB2312" w:cs="Times New Roman"/>
                <w:color w:val="000000" w:themeColor="text1"/>
                <w:sz w:val="28"/>
                <w:szCs w:val="28"/>
              </w:rPr>
              <w:t>《中华人民共和国安全生产法》</w:t>
            </w:r>
            <w:r>
              <w:rPr>
                <w:rStyle w:val="20"/>
                <w:rFonts w:hint="eastAsia" w:ascii="仿宋_GB2312" w:hAnsi="仿宋" w:eastAsia="仿宋_GB2312" w:cs="Times New Roman"/>
                <w:color w:val="000000" w:themeColor="text1"/>
                <w:sz w:val="28"/>
                <w:szCs w:val="28"/>
                <w:lang w:val="zh-CN"/>
              </w:rPr>
              <w:t>第九十七条第六项</w:t>
            </w:r>
            <w:r>
              <w:rPr>
                <w:rStyle w:val="20"/>
                <w:rFonts w:hint="eastAsia" w:ascii="仿宋_GB2312" w:hAnsi="仿宋" w:eastAsia="仿宋_GB2312" w:cs="Times New Roman"/>
                <w:color w:val="000000" w:themeColor="text1"/>
                <w:sz w:val="28"/>
                <w:szCs w:val="28"/>
              </w:rPr>
              <w:t>：</w:t>
            </w:r>
            <w:r>
              <w:rPr>
                <w:rStyle w:val="20"/>
                <w:rFonts w:hint="eastAsia" w:ascii="仿宋_GB2312" w:hAnsi="仿宋" w:eastAsia="仿宋_GB2312" w:cs="Times New Roman"/>
                <w:color w:val="000000" w:themeColor="text1"/>
                <w:sz w:val="28"/>
                <w:szCs w:val="28"/>
                <w:lang w:val="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19"/>
              <w:spacing w:line="360" w:lineRule="exact"/>
              <w:ind w:firstLine="560" w:firstLineChars="200"/>
              <w:rPr>
                <w:rFonts w:cs="Times New Roman"/>
                <w:lang w:val="zh-CN"/>
              </w:rPr>
            </w:pPr>
            <w:r>
              <w:rPr>
                <w:rStyle w:val="20"/>
                <w:rFonts w:hint="eastAsia" w:ascii="仿宋_GB2312" w:hAnsi="仿宋" w:eastAsia="仿宋_GB2312" w:cs="Times New Roman"/>
                <w:color w:val="000000" w:themeColor="text1"/>
                <w:sz w:val="28"/>
                <w:szCs w:val="28"/>
                <w:lang w:val="zh-CN"/>
              </w:rPr>
              <w:t>（六）未按照规定制定生产安全事故应急救援预案或者未定期组织演练的。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5</w:t>
            </w:r>
          </w:p>
        </w:tc>
        <w:tc>
          <w:tcPr>
            <w:tcW w:w="2126" w:type="dxa"/>
            <w:vAlign w:val="center"/>
          </w:tcPr>
          <w:p>
            <w:pPr>
              <w:spacing w:line="360" w:lineRule="exact"/>
              <w:jc w:val="left"/>
              <w:rPr>
                <w:rFonts w:ascii="仿宋_GB2312" w:hAnsi="仿宋"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生产经营单位未在有较大危险因素的生产经营场所和有关设施、设备上设置明显的安全警示标志。</w:t>
            </w:r>
          </w:p>
        </w:tc>
        <w:tc>
          <w:tcPr>
            <w:tcW w:w="3686" w:type="dxa"/>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2.非有限空间作业场所；</w:t>
            </w:r>
          </w:p>
          <w:p>
            <w:pPr>
              <w:spacing w:line="360" w:lineRule="exact"/>
              <w:rPr>
                <w:rFonts w:ascii="仿宋_GB2312" w:eastAsia="仿宋_GB2312" w:cs="Times New Roman"/>
                <w:kern w:val="0"/>
                <w:sz w:val="28"/>
                <w:szCs w:val="28"/>
              </w:rPr>
            </w:pPr>
            <w:r>
              <w:rPr>
                <w:rFonts w:hint="eastAsia" w:ascii="仿宋_GB2312" w:eastAsia="仿宋_GB2312" w:cs="Times New Roman"/>
                <w:color w:val="000000" w:themeColor="text1"/>
                <w:kern w:val="0"/>
                <w:sz w:val="28"/>
                <w:szCs w:val="28"/>
              </w:rPr>
              <w:t>3.有证</w:t>
            </w:r>
            <w:r>
              <w:rPr>
                <w:rFonts w:hint="eastAsia" w:ascii="仿宋_GB2312" w:hAnsi="仿宋" w:eastAsia="仿宋_GB2312" w:cs="Times New Roman"/>
                <w:color w:val="000000" w:themeColor="text1"/>
                <w:kern w:val="0"/>
                <w:sz w:val="28"/>
                <w:szCs w:val="28"/>
              </w:rPr>
              <w:t>据证明</w:t>
            </w:r>
            <w:r>
              <w:rPr>
                <w:rFonts w:hint="eastAsia" w:ascii="仿宋_GB2312" w:eastAsia="仿宋_GB2312" w:cs="Times New Roman"/>
                <w:kern w:val="0"/>
                <w:sz w:val="28"/>
                <w:szCs w:val="28"/>
              </w:rPr>
              <w:t>已设置安全警示标志，但位置不明显或者脱落后未及时张贴的。</w:t>
            </w:r>
          </w:p>
        </w:tc>
        <w:tc>
          <w:tcPr>
            <w:tcW w:w="7371" w:type="dxa"/>
          </w:tcPr>
          <w:p>
            <w:pPr>
              <w:pStyle w:val="19"/>
              <w:spacing w:line="360" w:lineRule="exact"/>
              <w:ind w:firstLine="0"/>
              <w:rPr>
                <w:rStyle w:val="20"/>
                <w:rFonts w:ascii="仿宋_GB2312" w:hAnsi="仿宋" w:eastAsia="仿宋_GB2312" w:cs="Times New Roman"/>
                <w:color w:val="000000" w:themeColor="text1"/>
                <w:sz w:val="28"/>
                <w:szCs w:val="28"/>
                <w:lang w:val="zh-CN"/>
              </w:rPr>
            </w:pPr>
            <w:r>
              <w:rPr>
                <w:rFonts w:hint="eastAsia" w:ascii="仿宋_GB2312" w:hAnsi="仿宋" w:eastAsia="仿宋_GB2312" w:cs="Times New Roman"/>
                <w:bCs/>
                <w:color w:val="000000" w:themeColor="text1"/>
                <w:sz w:val="28"/>
                <w:szCs w:val="28"/>
              </w:rPr>
              <w:t>【法律规定】</w:t>
            </w:r>
            <w:r>
              <w:rPr>
                <w:rFonts w:hint="eastAsia" w:ascii="仿宋_GB2312" w:hAnsi="仿宋" w:eastAsia="仿宋_GB2312" w:cs="Times New Roman"/>
                <w:color w:val="000000" w:themeColor="text1"/>
                <w:sz w:val="28"/>
                <w:szCs w:val="28"/>
              </w:rPr>
              <w:t>《中华人民共和国安全生产法》</w:t>
            </w:r>
            <w:r>
              <w:rPr>
                <w:rStyle w:val="20"/>
                <w:rFonts w:hint="eastAsia" w:ascii="仿宋_GB2312" w:hAnsi="仿宋" w:eastAsia="仿宋_GB2312" w:cs="Times New Roman"/>
                <w:color w:val="000000" w:themeColor="text1"/>
                <w:sz w:val="28"/>
                <w:szCs w:val="28"/>
                <w:lang w:val="zh-CN"/>
              </w:rPr>
              <w:t>第三十五条：生产经营单位应当在有较大危险因素的生产经营场所和有关设施、设备上，设置明显的安全警示标志。</w:t>
            </w:r>
          </w:p>
          <w:p>
            <w:pPr>
              <w:pStyle w:val="19"/>
              <w:spacing w:line="360" w:lineRule="exact"/>
              <w:ind w:firstLine="0"/>
              <w:rPr>
                <w:rStyle w:val="20"/>
                <w:rFonts w:ascii="仿宋_GB2312" w:hAnsi="仿宋" w:eastAsia="仿宋_GB2312" w:cs="Times New Roman"/>
                <w:color w:val="000000" w:themeColor="text1"/>
                <w:sz w:val="28"/>
                <w:szCs w:val="28"/>
                <w:lang w:val="zh-CN"/>
              </w:rPr>
            </w:pPr>
            <w:r>
              <w:rPr>
                <w:rFonts w:hint="eastAsia" w:ascii="仿宋_GB2312" w:hAnsi="仿宋" w:eastAsia="仿宋_GB2312" w:cs="Times New Roman"/>
                <w:bCs/>
                <w:color w:val="000000" w:themeColor="text1"/>
                <w:sz w:val="28"/>
                <w:szCs w:val="28"/>
              </w:rPr>
              <w:t>【处罚依据】</w:t>
            </w:r>
            <w:r>
              <w:rPr>
                <w:rFonts w:hint="eastAsia" w:ascii="仿宋_GB2312" w:hAnsi="仿宋" w:eastAsia="仿宋_GB2312" w:cs="Times New Roman"/>
                <w:color w:val="000000" w:themeColor="text1"/>
                <w:sz w:val="28"/>
                <w:szCs w:val="28"/>
              </w:rPr>
              <w:t>《中华人民共和国安全生产法》</w:t>
            </w:r>
            <w:r>
              <w:rPr>
                <w:rStyle w:val="20"/>
                <w:rFonts w:hint="eastAsia" w:ascii="仿宋_GB2312" w:hAnsi="仿宋" w:eastAsia="仿宋_GB2312" w:cs="Times New Roman"/>
                <w:color w:val="000000" w:themeColor="text1"/>
                <w:sz w:val="28"/>
                <w:szCs w:val="28"/>
                <w:lang w:val="zh-CN"/>
              </w:rPr>
              <w:t>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19"/>
              <w:spacing w:line="360" w:lineRule="exact"/>
              <w:ind w:firstLine="560" w:firstLineChars="200"/>
              <w:rPr>
                <w:rFonts w:ascii="仿宋_GB2312" w:hAnsi="仿宋" w:eastAsia="仿宋_GB2312" w:cs="Times New Roman"/>
                <w:b/>
                <w:bCs/>
                <w:color w:val="000000" w:themeColor="text1"/>
                <w:sz w:val="28"/>
                <w:szCs w:val="28"/>
              </w:rPr>
            </w:pPr>
            <w:r>
              <w:rPr>
                <w:rStyle w:val="20"/>
                <w:rFonts w:hint="eastAsia" w:ascii="仿宋_GB2312" w:hAnsi="仿宋" w:eastAsia="仿宋_GB2312" w:cs="Times New Roman"/>
                <w:color w:val="000000" w:themeColor="text1"/>
                <w:sz w:val="28"/>
                <w:szCs w:val="28"/>
                <w:lang w:val="zh-CN"/>
              </w:rPr>
              <w:t>（一）未在有较大危险因素的生产经营场所和有关设施、设备上设置明显的安全警示标志的；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6</w:t>
            </w:r>
          </w:p>
        </w:tc>
        <w:tc>
          <w:tcPr>
            <w:tcW w:w="2126" w:type="dxa"/>
            <w:vAlign w:val="center"/>
          </w:tcPr>
          <w:p>
            <w:pPr>
              <w:pStyle w:val="19"/>
              <w:spacing w:line="360" w:lineRule="exact"/>
              <w:ind w:firstLine="0"/>
              <w:rPr>
                <w:rFonts w:ascii="仿宋_GB2312" w:hAnsi="Times New Roman"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rPr>
              <w:t>生产经营单位未建立安全风险分级管控制度。</w:t>
            </w:r>
          </w:p>
        </w:tc>
        <w:tc>
          <w:tcPr>
            <w:tcW w:w="3686" w:type="dxa"/>
            <w:vAlign w:val="center"/>
          </w:tcPr>
          <w:p>
            <w:pPr>
              <w:spacing w:line="36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w:t>
            </w:r>
            <w:r>
              <w:rPr>
                <w:rFonts w:hint="eastAsia" w:ascii="仿宋_GB2312" w:eastAsia="仿宋_GB2312" w:cs="Times New Roman"/>
                <w:kern w:val="0"/>
                <w:sz w:val="28"/>
                <w:szCs w:val="28"/>
              </w:rPr>
              <w:t>初次违法且危害后果轻微并及时改正；</w:t>
            </w:r>
          </w:p>
          <w:p>
            <w:pPr>
              <w:spacing w:line="36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r>
              <w:rPr>
                <w:rFonts w:hint="eastAsia" w:ascii="仿宋_GB2312" w:eastAsia="仿宋_GB2312" w:cs="Times New Roman"/>
                <w:kern w:val="0"/>
                <w:sz w:val="28"/>
                <w:szCs w:val="28"/>
              </w:rPr>
              <w:t>有证据证明已按照安全风险分级采取相应的管控措施。</w:t>
            </w:r>
          </w:p>
        </w:tc>
        <w:tc>
          <w:tcPr>
            <w:tcW w:w="7371" w:type="dxa"/>
            <w:vAlign w:val="center"/>
          </w:tcPr>
          <w:p>
            <w:pPr>
              <w:pStyle w:val="19"/>
              <w:spacing w:line="360" w:lineRule="exact"/>
              <w:ind w:firstLine="0"/>
              <w:rPr>
                <w:rStyle w:val="20"/>
                <w:rFonts w:ascii="仿宋_GB2312" w:hAnsi="Times New Roman" w:eastAsia="仿宋_GB2312" w:cs="Times New Roman"/>
                <w:color w:val="000000" w:themeColor="text1"/>
                <w:sz w:val="28"/>
                <w:szCs w:val="28"/>
              </w:rPr>
            </w:pPr>
            <w:r>
              <w:rPr>
                <w:rFonts w:hint="eastAsia" w:ascii="仿宋_GB2312" w:hAnsi="仿宋" w:eastAsia="仿宋_GB2312" w:cs="Times New Roman"/>
                <w:bCs/>
                <w:color w:val="000000" w:themeColor="text1"/>
                <w:sz w:val="28"/>
                <w:szCs w:val="28"/>
              </w:rPr>
              <w:t>【法律规定】</w:t>
            </w:r>
            <w:r>
              <w:rPr>
                <w:rFonts w:hint="eastAsia" w:ascii="仿宋_GB2312" w:hAnsi="仿宋" w:eastAsia="仿宋_GB2312" w:cs="Times New Roman"/>
                <w:color w:val="000000" w:themeColor="text1"/>
                <w:sz w:val="28"/>
                <w:szCs w:val="28"/>
              </w:rPr>
              <w:t>《中华人民共和国安全生产法》</w:t>
            </w:r>
            <w:r>
              <w:rPr>
                <w:rStyle w:val="20"/>
                <w:rFonts w:hint="eastAsia" w:ascii="仿宋_GB2312" w:hAnsi="仿宋" w:eastAsia="仿宋_GB2312" w:cs="Times New Roman"/>
                <w:color w:val="000000" w:themeColor="text1"/>
                <w:sz w:val="28"/>
                <w:szCs w:val="28"/>
                <w:lang w:val="zh-CN"/>
              </w:rPr>
              <w:t>第四十一条第一款：生产经营单位应当建立安全风险分级管控制度，按照安全风险分级采取相应的管控措施。</w:t>
            </w:r>
          </w:p>
          <w:p>
            <w:pPr>
              <w:pStyle w:val="19"/>
              <w:spacing w:line="360" w:lineRule="exact"/>
              <w:ind w:firstLine="0"/>
              <w:rPr>
                <w:rFonts w:ascii="仿宋_GB2312" w:hAnsi="Times New Roman" w:eastAsia="仿宋_GB2312" w:cs="Times New Roman"/>
                <w:color w:val="000000" w:themeColor="text1"/>
                <w:sz w:val="28"/>
                <w:szCs w:val="28"/>
              </w:rPr>
            </w:pPr>
            <w:r>
              <w:rPr>
                <w:rFonts w:hint="eastAsia" w:ascii="仿宋_GB2312" w:hAnsi="仿宋" w:eastAsia="仿宋_GB2312" w:cs="Times New Roman"/>
                <w:bCs/>
                <w:color w:val="000000" w:themeColor="text1"/>
                <w:sz w:val="28"/>
                <w:szCs w:val="28"/>
              </w:rPr>
              <w:t>【处罚依据】</w:t>
            </w:r>
            <w:r>
              <w:rPr>
                <w:rFonts w:hint="eastAsia" w:ascii="仿宋_GB2312" w:hAnsi="仿宋" w:eastAsia="仿宋_GB2312" w:cs="Times New Roman"/>
                <w:color w:val="000000" w:themeColor="text1"/>
                <w:sz w:val="28"/>
                <w:szCs w:val="28"/>
              </w:rPr>
              <w:t>《中华人民共和国安全生产法》第一百零一条第四项：</w:t>
            </w:r>
            <w:r>
              <w:rPr>
                <w:rStyle w:val="20"/>
                <w:rFonts w:hint="eastAsia" w:ascii="仿宋_GB2312" w:hAnsi="仿宋" w:eastAsia="仿宋_GB2312" w:cs="Times New Roman"/>
                <w:color w:val="000000" w:themeColor="text1"/>
                <w:sz w:val="28"/>
                <w:szCs w:val="28"/>
                <w:lang w:val="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Style w:val="20"/>
                <w:rFonts w:hint="eastAsia" w:ascii="仿宋_GB2312" w:hAnsi="仿宋" w:eastAsia="仿宋_GB2312" w:cs="Times New Roman"/>
                <w:color w:val="000000" w:themeColor="text1"/>
                <w:sz w:val="28"/>
                <w:szCs w:val="28"/>
              </w:rPr>
              <w:t>：</w:t>
            </w:r>
          </w:p>
          <w:p>
            <w:pPr>
              <w:spacing w:line="360" w:lineRule="exact"/>
              <w:ind w:firstLine="560" w:firstLineChars="200"/>
              <w:jc w:val="left"/>
              <w:rPr>
                <w:rFonts w:ascii="仿宋_GB2312"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（四）未建立安全风险分级管控制度或者未按照安全风险分级采取相应管控措施的；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7</w:t>
            </w:r>
          </w:p>
        </w:tc>
        <w:tc>
          <w:tcPr>
            <w:tcW w:w="2126" w:type="dxa"/>
            <w:vAlign w:val="center"/>
          </w:tcPr>
          <w:p>
            <w:pPr>
              <w:pStyle w:val="19"/>
              <w:spacing w:line="360" w:lineRule="exact"/>
              <w:ind w:firstLine="0"/>
              <w:rPr>
                <w:rFonts w:ascii="仿宋_GB2312" w:hAnsi="Times New Roman"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生产经营单位未建立事故隐患排查治理制度。</w:t>
            </w:r>
          </w:p>
        </w:tc>
        <w:tc>
          <w:tcPr>
            <w:tcW w:w="3686" w:type="dxa"/>
            <w:vAlign w:val="center"/>
          </w:tcPr>
          <w:p>
            <w:pPr>
              <w:spacing w:line="36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w:t>
            </w:r>
            <w:r>
              <w:rPr>
                <w:rFonts w:hint="eastAsia" w:ascii="仿宋_GB2312" w:eastAsia="仿宋_GB2312" w:cs="Times New Roman"/>
                <w:kern w:val="0"/>
                <w:sz w:val="28"/>
                <w:szCs w:val="28"/>
              </w:rPr>
              <w:t>初次违法且危害后果轻微并及时改正；</w:t>
            </w:r>
          </w:p>
          <w:p>
            <w:pPr>
              <w:spacing w:line="360" w:lineRule="exact"/>
              <w:jc w:val="left"/>
              <w:rPr>
                <w:rFonts w:ascii="仿宋_GB2312" w:hAnsi="仿宋"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r>
              <w:rPr>
                <w:rFonts w:hint="eastAsia" w:ascii="仿宋_GB2312" w:hAnsi="仿宋" w:eastAsia="仿宋_GB2312" w:cs="Times New Roman"/>
                <w:color w:val="000000" w:themeColor="text1"/>
                <w:kern w:val="0"/>
                <w:sz w:val="28"/>
                <w:szCs w:val="28"/>
                <w:lang w:val="zh-CN"/>
              </w:rPr>
              <w:t>有证据证明已开展事故隐患排查治理工作</w:t>
            </w:r>
            <w:r>
              <w:rPr>
                <w:rFonts w:hint="eastAsia" w:ascii="仿宋_GB2312" w:hAnsi="仿宋" w:eastAsia="仿宋_GB2312" w:cs="Times New Roman"/>
                <w:color w:val="000000" w:themeColor="text1"/>
                <w:kern w:val="0"/>
                <w:sz w:val="28"/>
                <w:szCs w:val="28"/>
              </w:rPr>
              <w:t>。</w:t>
            </w:r>
          </w:p>
        </w:tc>
        <w:tc>
          <w:tcPr>
            <w:tcW w:w="7371" w:type="dxa"/>
            <w:vAlign w:val="center"/>
          </w:tcPr>
          <w:p>
            <w:pPr>
              <w:spacing w:line="360" w:lineRule="exact"/>
              <w:jc w:val="left"/>
              <w:rPr>
                <w:rFonts w:ascii="仿宋_GB2312" w:hAnsi="仿宋" w:eastAsia="仿宋_GB2312" w:cs="Times New Roman"/>
                <w:color w:val="000000" w:themeColor="text1"/>
                <w:sz w:val="28"/>
                <w:szCs w:val="28"/>
              </w:rPr>
            </w:pPr>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rPr>
              <w:t>《中华人民共和国安全生产法》</w:t>
            </w:r>
            <w:r>
              <w:rPr>
                <w:rFonts w:hint="eastAsia" w:ascii="仿宋_GB2312" w:hAnsi="仿宋" w:eastAsia="仿宋_GB2312" w:cs="Times New Roman"/>
                <w:bCs/>
                <w:color w:val="000000" w:themeColor="text1"/>
                <w:kern w:val="0"/>
                <w:sz w:val="28"/>
                <w:szCs w:val="28"/>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19"/>
              <w:spacing w:line="360" w:lineRule="exact"/>
              <w:ind w:firstLine="0"/>
              <w:rPr>
                <w:rFonts w:ascii="仿宋_GB2312" w:hAnsi="Times New Roman" w:eastAsia="仿宋_GB2312" w:cs="Times New Roman"/>
                <w:color w:val="000000" w:themeColor="text1"/>
                <w:sz w:val="28"/>
                <w:szCs w:val="28"/>
              </w:rPr>
            </w:pPr>
            <w:r>
              <w:rPr>
                <w:rFonts w:hint="eastAsia" w:ascii="仿宋_GB2312" w:hAnsi="仿宋" w:eastAsia="仿宋_GB2312" w:cs="Times New Roman"/>
                <w:bCs/>
                <w:color w:val="000000" w:themeColor="text1"/>
                <w:sz w:val="28"/>
                <w:szCs w:val="28"/>
              </w:rPr>
              <w:t>【处罚依据】</w:t>
            </w:r>
            <w:r>
              <w:rPr>
                <w:rFonts w:hint="eastAsia" w:ascii="仿宋_GB2312" w:hAnsi="仿宋" w:eastAsia="仿宋_GB2312" w:cs="Times New Roman"/>
                <w:color w:val="000000" w:themeColor="text1"/>
                <w:sz w:val="28"/>
                <w:szCs w:val="28"/>
              </w:rPr>
              <w:t>《中华人民共和国安全生产法》第一百零一条第五项：</w:t>
            </w:r>
            <w:r>
              <w:rPr>
                <w:rStyle w:val="20"/>
                <w:rFonts w:hint="eastAsia" w:ascii="仿宋_GB2312" w:hAnsi="仿宋" w:eastAsia="仿宋_GB2312" w:cs="Times New Roman"/>
                <w:color w:val="000000" w:themeColor="text1"/>
                <w:sz w:val="28"/>
                <w:szCs w:val="28"/>
                <w:lang w:val="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Style w:val="20"/>
                <w:rFonts w:hint="eastAsia" w:ascii="仿宋_GB2312" w:hAnsi="仿宋" w:eastAsia="仿宋_GB2312" w:cs="Times New Roman"/>
                <w:color w:val="000000" w:themeColor="text1"/>
                <w:sz w:val="28"/>
                <w:szCs w:val="28"/>
              </w:rPr>
              <w:t>：</w:t>
            </w:r>
          </w:p>
          <w:p>
            <w:pPr>
              <w:spacing w:line="360" w:lineRule="exact"/>
              <w:ind w:firstLine="560" w:firstLineChars="200"/>
              <w:jc w:val="left"/>
              <w:rPr>
                <w:rFonts w:ascii="仿宋_GB2312" w:eastAsia="仿宋_GB2312" w:cs="Times New Roman"/>
                <w:b/>
                <w:bCs/>
                <w:color w:val="000000" w:themeColor="text1"/>
                <w:kern w:val="0"/>
                <w:sz w:val="28"/>
                <w:szCs w:val="28"/>
              </w:rPr>
            </w:pPr>
            <w:r>
              <w:rPr>
                <w:rFonts w:hint="eastAsia" w:ascii="仿宋_GB2312" w:hAnsi="仿宋" w:eastAsia="仿宋_GB2312" w:cs="Times New Roman"/>
                <w:color w:val="000000" w:themeColor="text1"/>
                <w:kern w:val="0"/>
                <w:sz w:val="28"/>
                <w:szCs w:val="28"/>
              </w:rPr>
              <w:t>（五）</w:t>
            </w:r>
            <w:r>
              <w:rPr>
                <w:rFonts w:hint="eastAsia" w:ascii="仿宋_GB2312" w:hAnsi="仿宋" w:eastAsia="仿宋_GB2312" w:cs="Times New Roman"/>
                <w:color w:val="000000" w:themeColor="text1"/>
                <w:kern w:val="0"/>
                <w:sz w:val="28"/>
                <w:szCs w:val="28"/>
                <w:lang w:val="zh-CN"/>
              </w:rPr>
              <w:t>未建立事故隐患排查治理制度，或者重大事故隐患排查治理情况未按照规定报告的。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8</w:t>
            </w:r>
          </w:p>
        </w:tc>
        <w:tc>
          <w:tcPr>
            <w:tcW w:w="2126" w:type="dxa"/>
            <w:vAlign w:val="center"/>
          </w:tcPr>
          <w:p>
            <w:pPr>
              <w:pStyle w:val="19"/>
              <w:spacing w:line="36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危险物品的生产、经营、储存单位以及矿山、金属冶炼单位未指定兼职应急救援人员。</w:t>
            </w:r>
          </w:p>
        </w:tc>
        <w:tc>
          <w:tcPr>
            <w:tcW w:w="3686" w:type="dxa"/>
            <w:vAlign w:val="center"/>
          </w:tcPr>
          <w:p>
            <w:pPr>
              <w:spacing w:line="36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w:t>
            </w:r>
            <w:r>
              <w:rPr>
                <w:rFonts w:hint="eastAsia" w:ascii="仿宋_GB2312" w:eastAsia="仿宋_GB2312" w:cs="Times New Roman"/>
                <w:kern w:val="0"/>
                <w:sz w:val="28"/>
                <w:szCs w:val="28"/>
              </w:rPr>
              <w:t>初次违法且危害后果轻微并及时改正；</w:t>
            </w:r>
          </w:p>
          <w:p>
            <w:pPr>
              <w:spacing w:line="36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2.生产经营规模较小、未指定兼职应急救援人员。</w:t>
            </w:r>
          </w:p>
        </w:tc>
        <w:tc>
          <w:tcPr>
            <w:tcW w:w="7371" w:type="dxa"/>
            <w:vAlign w:val="center"/>
          </w:tcPr>
          <w:p>
            <w:pPr>
              <w:spacing w:line="360" w:lineRule="exact"/>
              <w:rPr>
                <w:rFonts w:ascii="仿宋_GB2312" w:eastAsia="仿宋_GB2312" w:cs="Times New Roman"/>
                <w:b/>
                <w:kern w:val="0"/>
                <w:sz w:val="28"/>
                <w:szCs w:val="28"/>
              </w:rPr>
            </w:pPr>
            <w:r>
              <w:rPr>
                <w:rFonts w:hint="eastAsia" w:ascii="仿宋_GB2312" w:hAnsi="仿宋" w:eastAsia="仿宋_GB2312" w:cs="Times New Roman"/>
                <w:bCs/>
                <w:color w:val="000000" w:themeColor="text1"/>
                <w:kern w:val="0"/>
                <w:sz w:val="28"/>
                <w:szCs w:val="28"/>
              </w:rPr>
              <w:t>【处罚依据】</w:t>
            </w:r>
            <w:r>
              <w:rPr>
                <w:rFonts w:hint="eastAsia" w:ascii="仿宋_GB2312" w:eastAsia="仿宋_GB2312" w:cs="Times New Roman"/>
                <w:kern w:val="0"/>
                <w:sz w:val="28"/>
                <w:szCs w:val="28"/>
              </w:rPr>
              <w:t>《安全生产违法行为行政处罚办法》（国家</w:t>
            </w:r>
            <w:r>
              <w:rPr>
                <w:rFonts w:hint="eastAsia" w:ascii="仿宋_GB2312" w:hAnsi="仿宋" w:eastAsia="仿宋_GB2312" w:cs="Times New Roman"/>
                <w:color w:val="000000" w:themeColor="text1"/>
                <w:kern w:val="0"/>
                <w:sz w:val="28"/>
                <w:szCs w:val="28"/>
                <w:lang w:val="zh-CN"/>
              </w:rPr>
              <w:t>安全监管</w:t>
            </w:r>
            <w:r>
              <w:rPr>
                <w:rFonts w:hint="eastAsia" w:ascii="仿宋_GB2312" w:eastAsia="仿宋_GB2312" w:cs="Times New Roman"/>
                <w:kern w:val="0"/>
                <w:sz w:val="28"/>
                <w:szCs w:val="28"/>
              </w:rPr>
              <w:t>总局令第</w:t>
            </w:r>
            <w:r>
              <w:rPr>
                <w:rFonts w:ascii="仿宋_GB2312" w:eastAsia="仿宋_GB2312" w:cs="Times New Roman"/>
                <w:kern w:val="0"/>
                <w:sz w:val="28"/>
                <w:szCs w:val="28"/>
              </w:rPr>
              <w:t>15</w:t>
            </w:r>
            <w:r>
              <w:rPr>
                <w:rFonts w:hint="eastAsia" w:ascii="仿宋_GB2312" w:eastAsia="仿宋_GB2312" w:cs="Times New Roman"/>
                <w:kern w:val="0"/>
                <w:sz w:val="28"/>
                <w:szCs w:val="28"/>
              </w:rPr>
              <w:t>号）</w:t>
            </w:r>
            <w:r>
              <w:rPr>
                <w:rFonts w:hint="eastAsia" w:ascii="仿宋_GB2312" w:eastAsia="仿宋_GB2312"/>
                <w:sz w:val="28"/>
                <w:szCs w:val="28"/>
              </w:rPr>
              <w:t>第四十六条第一项：危险物品的生产、经营、储存单位以及矿山、金属冶炼单位有下列行为之一的，责令改正，并可以处1万元以上3万元以下的罚款：</w:t>
            </w:r>
          </w:p>
          <w:p>
            <w:pPr>
              <w:spacing w:line="360" w:lineRule="exact"/>
              <w:ind w:firstLine="560" w:firstLineChars="200"/>
              <w:rPr>
                <w:rFonts w:ascii="仿宋_GB2312" w:hAnsi="仿宋" w:eastAsia="仿宋_GB2312" w:cs="Times New Roman"/>
                <w:b/>
                <w:bCs/>
                <w:color w:val="000000" w:themeColor="text1"/>
                <w:sz w:val="28"/>
                <w:szCs w:val="28"/>
              </w:rPr>
            </w:pPr>
            <w:r>
              <w:rPr>
                <w:rFonts w:hint="eastAsia" w:ascii="仿宋_GB2312" w:eastAsia="仿宋_GB2312"/>
                <w:sz w:val="28"/>
                <w:szCs w:val="28"/>
              </w:rPr>
              <w:t>（一）未建立应急救援组织或者生产经营规模较小、未指定兼职应急救援人员的。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9</w:t>
            </w:r>
          </w:p>
        </w:tc>
        <w:tc>
          <w:tcPr>
            <w:tcW w:w="2126" w:type="dxa"/>
            <w:vAlign w:val="center"/>
          </w:tcPr>
          <w:p>
            <w:pPr>
              <w:pStyle w:val="19"/>
              <w:spacing w:line="36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生产经营单位未建立健全特种作业人员档案。</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2.生产经营单位特种作业人员均取得特种作业操作证。</w:t>
            </w:r>
          </w:p>
        </w:tc>
        <w:tc>
          <w:tcPr>
            <w:tcW w:w="7371" w:type="dxa"/>
          </w:tcPr>
          <w:p>
            <w:pPr>
              <w:spacing w:line="360" w:lineRule="exact"/>
              <w:rPr>
                <w:rFonts w:ascii="仿宋_GB2312" w:eastAsia="仿宋_GB2312" w:cs="Times New Roman"/>
                <w:b/>
                <w:kern w:val="0"/>
                <w:sz w:val="28"/>
                <w:szCs w:val="28"/>
              </w:rPr>
            </w:pPr>
            <w:r>
              <w:rPr>
                <w:rFonts w:hint="eastAsia" w:ascii="仿宋_GB2312" w:hAnsi="仿宋" w:eastAsia="仿宋_GB2312" w:cs="Times New Roman"/>
                <w:bCs/>
                <w:color w:val="000000" w:themeColor="text1"/>
                <w:kern w:val="0"/>
                <w:sz w:val="28"/>
                <w:szCs w:val="28"/>
              </w:rPr>
              <w:t>【法律规定】</w:t>
            </w:r>
            <w:r>
              <w:rPr>
                <w:rFonts w:hint="eastAsia" w:ascii="仿宋_GB2312" w:eastAsia="仿宋_GB2312" w:cs="Times New Roman"/>
                <w:bCs/>
                <w:kern w:val="0"/>
                <w:sz w:val="28"/>
                <w:szCs w:val="28"/>
              </w:rPr>
              <w:t>《特种作业人员安全技术培训考核管理规定》（国家</w:t>
            </w:r>
            <w:r>
              <w:rPr>
                <w:rFonts w:hint="eastAsia" w:ascii="仿宋_GB2312" w:hAnsi="仿宋" w:eastAsia="仿宋_GB2312" w:cs="Times New Roman"/>
                <w:bCs/>
                <w:color w:val="000000" w:themeColor="text1"/>
                <w:kern w:val="0"/>
                <w:sz w:val="28"/>
                <w:szCs w:val="28"/>
                <w:lang w:val="zh-CN"/>
              </w:rPr>
              <w:t>安全监管</w:t>
            </w:r>
            <w:r>
              <w:rPr>
                <w:rFonts w:hint="eastAsia" w:ascii="仿宋_GB2312" w:eastAsia="仿宋_GB2312" w:cs="Times New Roman"/>
                <w:bCs/>
                <w:kern w:val="0"/>
                <w:sz w:val="28"/>
                <w:szCs w:val="28"/>
              </w:rPr>
              <w:t>总局令第3</w:t>
            </w:r>
            <w:r>
              <w:rPr>
                <w:rFonts w:ascii="仿宋_GB2312" w:eastAsia="仿宋_GB2312" w:cs="Times New Roman"/>
                <w:bCs/>
                <w:kern w:val="0"/>
                <w:sz w:val="28"/>
                <w:szCs w:val="28"/>
              </w:rPr>
              <w:t>0</w:t>
            </w:r>
            <w:r>
              <w:rPr>
                <w:rFonts w:hint="eastAsia" w:ascii="仿宋_GB2312" w:eastAsia="仿宋_GB2312" w:cs="Times New Roman"/>
                <w:bCs/>
                <w:kern w:val="0"/>
                <w:sz w:val="28"/>
                <w:szCs w:val="28"/>
              </w:rPr>
              <w:t>号）</w:t>
            </w:r>
            <w:r>
              <w:rPr>
                <w:rFonts w:hint="eastAsia" w:ascii="仿宋_GB2312" w:eastAsia="仿宋_GB2312"/>
                <w:sz w:val="28"/>
                <w:szCs w:val="28"/>
              </w:rPr>
              <w:t>第三十四条</w:t>
            </w:r>
            <w:r>
              <w:rPr>
                <w:rFonts w:hint="eastAsia" w:ascii="仿宋_GB2312" w:eastAsia="仿宋_GB2312" w:cs="Times New Roman"/>
                <w:bCs/>
                <w:kern w:val="0"/>
                <w:sz w:val="28"/>
                <w:szCs w:val="28"/>
              </w:rPr>
              <w:t>：</w:t>
            </w:r>
            <w:r>
              <w:rPr>
                <w:rFonts w:hint="eastAsia" w:ascii="仿宋_GB2312" w:eastAsia="仿宋_GB2312"/>
                <w:sz w:val="28"/>
                <w:szCs w:val="28"/>
              </w:rPr>
              <w:t>生产经营单位应当加强对本单位特种作业人员的管理，建立健全特种作业人员培训、复审档案，做好申报、培训、考核、复审的</w:t>
            </w:r>
            <w:r>
              <w:fldChar w:fldCharType="begin"/>
            </w:r>
            <w:r>
              <w:instrText xml:space="preserve"> HYPERLINK "https://baike.baidu.com/item/%E7%BB%84%E7%BB%87%E5%B7%A5%E4%BD%9C/590875?fromModule=lemma_inlink" \t "https://baike.baidu.com/item/%E7%89%B9%E7%A7%8D%E4%BD%9C%E4%B8%9A%E4%BA%BA%E5%91%98%E5%AE%89%E5%85%A8%E6%8A%80%E6%9C%AF%E5%9F%B9%E8%AE%AD%E8%80%83%E6%A0%B8%E7%AE%A1%E7%90%86%E8%A7%84%E5%AE%9A/_blank" </w:instrText>
            </w:r>
            <w:r>
              <w:fldChar w:fldCharType="separate"/>
            </w:r>
            <w:r>
              <w:rPr>
                <w:rFonts w:ascii="仿宋_GB2312" w:eastAsia="仿宋_GB2312"/>
                <w:sz w:val="28"/>
                <w:szCs w:val="28"/>
              </w:rPr>
              <w:t>组织工作</w:t>
            </w:r>
            <w:r>
              <w:rPr>
                <w:rFonts w:ascii="仿宋_GB2312" w:eastAsia="仿宋_GB2312"/>
                <w:sz w:val="28"/>
                <w:szCs w:val="28"/>
              </w:rPr>
              <w:fldChar w:fldCharType="end"/>
            </w:r>
            <w:r>
              <w:rPr>
                <w:rFonts w:ascii="仿宋_GB2312" w:eastAsia="仿宋_GB2312"/>
                <w:sz w:val="28"/>
                <w:szCs w:val="28"/>
              </w:rPr>
              <w:t>和日常的检查工作。</w:t>
            </w:r>
          </w:p>
          <w:p>
            <w:pPr>
              <w:spacing w:line="360" w:lineRule="exact"/>
              <w:rPr>
                <w:rFonts w:ascii="仿宋_GB2312" w:hAnsi="仿宋" w:eastAsia="仿宋_GB2312" w:cs="Times New Roman"/>
                <w:b/>
                <w:bCs/>
                <w:color w:val="000000" w:themeColor="text1"/>
                <w:sz w:val="28"/>
                <w:szCs w:val="28"/>
              </w:rPr>
            </w:pPr>
            <w:r>
              <w:rPr>
                <w:rFonts w:hint="eastAsia" w:ascii="仿宋_GB2312" w:eastAsia="仿宋_GB2312"/>
                <w:sz w:val="28"/>
                <w:szCs w:val="28"/>
              </w:rPr>
              <w:t>【处罚依据】《特种作业人员安全技术培训考核管理规定》（国家安全监管总局令第3</w:t>
            </w:r>
            <w:r>
              <w:rPr>
                <w:rFonts w:ascii="仿宋_GB2312" w:eastAsia="仿宋_GB2312"/>
                <w:sz w:val="28"/>
                <w:szCs w:val="28"/>
              </w:rPr>
              <w:t>0</w:t>
            </w:r>
            <w:r>
              <w:rPr>
                <w:rFonts w:hint="eastAsia" w:ascii="仿宋_GB2312" w:eastAsia="仿宋_GB2312"/>
                <w:sz w:val="28"/>
                <w:szCs w:val="28"/>
              </w:rPr>
              <w:t>号）第三十八条：生产经营单位未建立健全特种作业人员档案的，给予警告，并处1万元以下的罚款。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w:t>
            </w:r>
            <w:r>
              <w:rPr>
                <w:rFonts w:ascii="仿宋_GB2312" w:eastAsia="仿宋_GB2312" w:cs="Times New Roman"/>
                <w:color w:val="000000" w:themeColor="text1"/>
                <w:kern w:val="0"/>
                <w:sz w:val="28"/>
                <w:szCs w:val="28"/>
              </w:rPr>
              <w:t>0</w:t>
            </w:r>
          </w:p>
        </w:tc>
        <w:tc>
          <w:tcPr>
            <w:tcW w:w="2126" w:type="dxa"/>
            <w:vAlign w:val="center"/>
          </w:tcPr>
          <w:p>
            <w:pPr>
              <w:pStyle w:val="19"/>
              <w:spacing w:line="36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地质勘探单位未按规定向工作区域所在地县级安全生产监督管理部门书面报告。</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w:t>
            </w:r>
            <w:r>
              <w:rPr>
                <w:rFonts w:hint="eastAsia" w:ascii="仿宋_GB2312" w:hAnsi="仿宋" w:eastAsia="仿宋_GB2312" w:cs="Times New Roman"/>
                <w:color w:val="000000" w:themeColor="text1"/>
                <w:kern w:val="0"/>
                <w:sz w:val="28"/>
                <w:szCs w:val="28"/>
                <w:lang w:val="zh-CN"/>
              </w:rPr>
              <w:t>地质勘探活动开始后</w:t>
            </w:r>
            <w:r>
              <w:rPr>
                <w:rFonts w:hint="eastAsia" w:ascii="仿宋_GB2312" w:hAnsi="仿宋" w:eastAsia="仿宋_GB2312" w:cs="Times New Roman"/>
                <w:color w:val="000000" w:themeColor="text1"/>
                <w:kern w:val="0"/>
                <w:sz w:val="28"/>
                <w:szCs w:val="28"/>
              </w:rPr>
              <w:t>5个工作日内未书面报告。</w:t>
            </w:r>
          </w:p>
        </w:tc>
        <w:tc>
          <w:tcPr>
            <w:tcW w:w="7371" w:type="dxa"/>
            <w:vAlign w:val="center"/>
          </w:tcPr>
          <w:p>
            <w:pPr>
              <w:spacing w:line="360" w:lineRule="exact"/>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shd w:val="clear" w:color="auto" w:fill="FFFFFF"/>
              </w:rPr>
              <w:t>《金属与非金属矿产资源地质勘探安全生产监督管理暂行规定》</w:t>
            </w:r>
            <w:r>
              <w:rPr>
                <w:rFonts w:hint="eastAsia" w:ascii="仿宋_GB2312" w:hAnsi="仿宋" w:eastAsia="仿宋_GB2312" w:cs="Times New Roman"/>
                <w:color w:val="000000" w:themeColor="text1"/>
                <w:kern w:val="0"/>
                <w:sz w:val="28"/>
                <w:szCs w:val="28"/>
                <w:lang w:val="zh-CN"/>
              </w:rPr>
              <w:t>（国家安全监管总局令第</w:t>
            </w:r>
            <w:r>
              <w:rPr>
                <w:rFonts w:hint="eastAsia" w:ascii="仿宋_GB2312" w:hAnsi="仿宋" w:eastAsia="仿宋_GB2312" w:cs="Times New Roman"/>
                <w:color w:val="000000" w:themeColor="text1"/>
                <w:kern w:val="0"/>
                <w:sz w:val="28"/>
                <w:szCs w:val="28"/>
              </w:rPr>
              <w:t>3</w:t>
            </w:r>
            <w:r>
              <w:rPr>
                <w:rFonts w:hint="eastAsia" w:ascii="仿宋_GB2312" w:hAnsi="仿宋" w:eastAsia="仿宋_GB2312" w:cs="Times New Roman"/>
                <w:color w:val="000000" w:themeColor="text1"/>
                <w:kern w:val="0"/>
                <w:sz w:val="28"/>
                <w:szCs w:val="28"/>
                <w:lang w:val="zh-CN"/>
              </w:rPr>
              <w:t>5号）第八条：地质勘探单位从事地质勘探活动，应当持本单位地质勘查资质证书和地质勘探项目任务批准文件或者合同书，向工作区域所在地县级安全生产监督管理部门书面报告，并接受其监督检查。</w:t>
            </w:r>
          </w:p>
          <w:p>
            <w:pPr>
              <w:spacing w:line="360" w:lineRule="exact"/>
              <w:rPr>
                <w:rFonts w:ascii="仿宋_GB2312" w:hAnsi="仿宋" w:eastAsia="仿宋_GB2312" w:cs="Times New Roman"/>
                <w:bCs/>
                <w:color w:val="000000" w:themeColor="text1"/>
                <w:kern w:val="0"/>
                <w:sz w:val="28"/>
                <w:szCs w:val="28"/>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shd w:val="clear" w:color="auto" w:fill="FFFFFF"/>
              </w:rPr>
              <w:t>《金属与非金属矿产资源地质勘探安全生产监督管理暂行规定》</w:t>
            </w:r>
            <w:r>
              <w:rPr>
                <w:rFonts w:hint="eastAsia" w:ascii="仿宋_GB2312" w:hAnsi="仿宋" w:eastAsia="仿宋_GB2312" w:cs="Times New Roman"/>
                <w:color w:val="000000" w:themeColor="text1"/>
                <w:kern w:val="0"/>
                <w:sz w:val="28"/>
                <w:szCs w:val="28"/>
                <w:lang w:val="zh-CN"/>
              </w:rPr>
              <w:t>（国家安全监管总局令第</w:t>
            </w:r>
            <w:r>
              <w:rPr>
                <w:rFonts w:hint="eastAsia" w:ascii="仿宋_GB2312" w:hAnsi="仿宋" w:eastAsia="仿宋_GB2312" w:cs="Times New Roman"/>
                <w:color w:val="000000" w:themeColor="text1"/>
                <w:kern w:val="0"/>
                <w:sz w:val="28"/>
                <w:szCs w:val="28"/>
              </w:rPr>
              <w:t>3</w:t>
            </w:r>
            <w:r>
              <w:rPr>
                <w:rFonts w:hint="eastAsia" w:ascii="仿宋_GB2312" w:hAnsi="仿宋" w:eastAsia="仿宋_GB2312" w:cs="Times New Roman"/>
                <w:color w:val="000000" w:themeColor="text1"/>
                <w:kern w:val="0"/>
                <w:sz w:val="28"/>
                <w:szCs w:val="28"/>
                <w:lang w:val="zh-CN"/>
              </w:rPr>
              <w:t>5号）第二十七条：地质勘探单位未按照规定向工作区域所在地县级安全生产监督管理部门书面报告的，给予警告，并处2万元以下的罚款。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11</w:t>
            </w:r>
          </w:p>
        </w:tc>
        <w:tc>
          <w:tcPr>
            <w:tcW w:w="2126" w:type="dxa"/>
            <w:vAlign w:val="center"/>
          </w:tcPr>
          <w:p>
            <w:pPr>
              <w:spacing w:line="360" w:lineRule="exact"/>
              <w:jc w:val="left"/>
              <w:rPr>
                <w:rFonts w:ascii="仿宋_GB2312" w:hAnsi="仿宋" w:eastAsia="仿宋_GB2312" w:cs="Times New Roman"/>
                <w:color w:val="000000" w:themeColor="text1"/>
                <w:sz w:val="28"/>
                <w:szCs w:val="28"/>
                <w:lang w:val="zh-CN"/>
              </w:rPr>
            </w:pPr>
            <w:r>
              <w:rPr>
                <w:rFonts w:hint="eastAsia" w:ascii="仿宋_GB2312" w:hAnsi="仿宋" w:eastAsia="仿宋_GB2312" w:cs="Times New Roman"/>
                <w:bCs/>
                <w:color w:val="000000" w:themeColor="text1"/>
                <w:kern w:val="0"/>
                <w:sz w:val="28"/>
                <w:szCs w:val="28"/>
              </w:rPr>
              <w:t>登记企业在危险化学品登记证有效期内企业名称、注册地址、应急咨询服务电话发生变化，未按规定按时办理危险化学品登记变更手续。</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2.未按时办理变更手续逾期不超过2个月。</w:t>
            </w:r>
          </w:p>
        </w:tc>
        <w:tc>
          <w:tcPr>
            <w:tcW w:w="7371" w:type="dxa"/>
            <w:vAlign w:val="center"/>
          </w:tcPr>
          <w:p>
            <w:pPr>
              <w:spacing w:line="360" w:lineRule="exact"/>
              <w:jc w:val="left"/>
              <w:rPr>
                <w:rFonts w:ascii="仿宋_GB2312" w:eastAsia="仿宋_GB2312"/>
                <w:sz w:val="28"/>
                <w:szCs w:val="28"/>
              </w:rPr>
            </w:pPr>
            <w:r>
              <w:rPr>
                <w:rFonts w:hint="eastAsia" w:ascii="仿宋_GB2312" w:hAnsi="仿宋" w:eastAsia="仿宋_GB2312" w:cs="Times New Roman"/>
                <w:bCs/>
                <w:color w:val="000000" w:themeColor="text1"/>
                <w:kern w:val="0"/>
                <w:sz w:val="28"/>
                <w:szCs w:val="28"/>
              </w:rPr>
              <w:t>【法律规定】</w:t>
            </w:r>
            <w:r>
              <w:rPr>
                <w:rFonts w:hint="eastAsia" w:ascii="仿宋_GB2312" w:eastAsia="仿宋_GB2312"/>
                <w:sz w:val="28"/>
                <w:szCs w:val="28"/>
              </w:rPr>
              <w:t>《危险化学品登记管理办法》</w:t>
            </w:r>
            <w:r>
              <w:rPr>
                <w:rFonts w:hint="eastAsia" w:ascii="仿宋_GB2312" w:hAnsi="仿宋" w:eastAsia="仿宋_GB2312" w:cs="Times New Roman"/>
                <w:color w:val="000000" w:themeColor="text1"/>
                <w:kern w:val="0"/>
                <w:sz w:val="28"/>
                <w:szCs w:val="28"/>
                <w:lang w:val="zh-CN"/>
              </w:rPr>
              <w:t>（国家安全监管总局令第</w:t>
            </w:r>
            <w:r>
              <w:rPr>
                <w:rFonts w:ascii="仿宋_GB2312" w:hAnsi="仿宋" w:eastAsia="仿宋_GB2312" w:cs="Times New Roman"/>
                <w:color w:val="000000" w:themeColor="text1"/>
                <w:kern w:val="0"/>
                <w:sz w:val="28"/>
                <w:szCs w:val="28"/>
                <w:lang w:val="zh-CN"/>
              </w:rPr>
              <w:t>53</w:t>
            </w:r>
            <w:r>
              <w:rPr>
                <w:rFonts w:hint="eastAsia" w:ascii="仿宋_GB2312" w:hAnsi="仿宋" w:eastAsia="仿宋_GB2312" w:cs="Times New Roman"/>
                <w:color w:val="000000" w:themeColor="text1"/>
                <w:kern w:val="0"/>
                <w:sz w:val="28"/>
                <w:szCs w:val="28"/>
                <w:lang w:val="zh-CN"/>
              </w:rPr>
              <w:t>号）</w:t>
            </w:r>
            <w:r>
              <w:rPr>
                <w:rFonts w:hint="eastAsia" w:ascii="仿宋_GB2312" w:eastAsia="仿宋_GB2312"/>
                <w:sz w:val="28"/>
                <w:szCs w:val="28"/>
              </w:rPr>
              <w:t>第十五条：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pPr>
              <w:spacing w:line="360" w:lineRule="exact"/>
              <w:ind w:firstLine="560" w:firstLineChars="200"/>
              <w:jc w:val="left"/>
              <w:rPr>
                <w:rFonts w:ascii="仿宋_GB2312" w:eastAsia="仿宋_GB2312"/>
                <w:sz w:val="28"/>
                <w:szCs w:val="28"/>
              </w:rPr>
            </w:pPr>
            <w:r>
              <w:rPr>
                <w:rFonts w:hint="eastAsia" w:ascii="仿宋_GB2312" w:eastAsia="仿宋_GB2312"/>
                <w:sz w:val="28"/>
                <w:szCs w:val="28"/>
              </w:rPr>
              <w:t>（一）通过登记系统填写危险化学品登记变更申请表，并向登记办公室提交涉及变更事项的证明材料1份；</w:t>
            </w:r>
          </w:p>
          <w:p>
            <w:pPr>
              <w:spacing w:line="360" w:lineRule="exact"/>
              <w:ind w:firstLine="560" w:firstLineChars="200"/>
              <w:jc w:val="left"/>
              <w:rPr>
                <w:rFonts w:ascii="仿宋_GB2312" w:eastAsia="仿宋_GB2312"/>
                <w:sz w:val="28"/>
                <w:szCs w:val="28"/>
              </w:rPr>
            </w:pPr>
            <w:r>
              <w:rPr>
                <w:rFonts w:hint="eastAsia" w:ascii="仿宋_GB2312" w:eastAsia="仿宋_GB2312"/>
                <w:sz w:val="28"/>
                <w:szCs w:val="28"/>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pPr>
              <w:spacing w:line="360" w:lineRule="exact"/>
              <w:ind w:firstLine="560" w:firstLineChars="200"/>
              <w:jc w:val="left"/>
              <w:rPr>
                <w:rFonts w:ascii="仿宋_GB2312" w:eastAsia="仿宋_GB2312"/>
                <w:sz w:val="28"/>
                <w:szCs w:val="28"/>
              </w:rPr>
            </w:pPr>
            <w:r>
              <w:rPr>
                <w:rFonts w:hint="eastAsia" w:ascii="仿宋_GB2312" w:eastAsia="仿宋_GB2312"/>
                <w:sz w:val="28"/>
                <w:szCs w:val="28"/>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pPr>
              <w:spacing w:line="360" w:lineRule="exact"/>
              <w:jc w:val="left"/>
              <w:rPr>
                <w:rFonts w:ascii="仿宋_GB2312" w:hAnsi="仿宋" w:eastAsia="仿宋_GB2312" w:cs="Times New Roman"/>
                <w:bCs/>
                <w:color w:val="000000" w:themeColor="text1"/>
                <w:kern w:val="0"/>
                <w:sz w:val="28"/>
                <w:szCs w:val="28"/>
              </w:rPr>
            </w:pPr>
            <w:r>
              <w:rPr>
                <w:rFonts w:hint="eastAsia" w:ascii="仿宋_GB2312" w:eastAsia="仿宋_GB2312"/>
                <w:sz w:val="28"/>
                <w:szCs w:val="28"/>
              </w:rPr>
              <w:t>【处罚依据】《危险化学品登记管理办法》</w:t>
            </w:r>
            <w:r>
              <w:rPr>
                <w:rFonts w:hint="eastAsia" w:ascii="仿宋_GB2312" w:hAnsi="仿宋" w:eastAsia="仿宋_GB2312" w:cs="Times New Roman"/>
                <w:color w:val="000000" w:themeColor="text1"/>
                <w:kern w:val="0"/>
                <w:sz w:val="28"/>
                <w:szCs w:val="28"/>
                <w:lang w:val="zh-CN"/>
              </w:rPr>
              <w:t>（国家安全监管总局令第</w:t>
            </w:r>
            <w:r>
              <w:rPr>
                <w:rFonts w:ascii="仿宋_GB2312" w:hAnsi="仿宋" w:eastAsia="仿宋_GB2312" w:cs="Times New Roman"/>
                <w:color w:val="000000" w:themeColor="text1"/>
                <w:kern w:val="0"/>
                <w:sz w:val="28"/>
                <w:szCs w:val="28"/>
                <w:lang w:val="zh-CN"/>
              </w:rPr>
              <w:t>53</w:t>
            </w:r>
            <w:r>
              <w:rPr>
                <w:rFonts w:hint="eastAsia" w:ascii="仿宋_GB2312" w:hAnsi="仿宋" w:eastAsia="仿宋_GB2312" w:cs="Times New Roman"/>
                <w:color w:val="000000" w:themeColor="text1"/>
                <w:kern w:val="0"/>
                <w:sz w:val="28"/>
                <w:szCs w:val="28"/>
                <w:lang w:val="zh-CN"/>
              </w:rPr>
              <w:t>号）</w:t>
            </w:r>
            <w:r>
              <w:rPr>
                <w:rFonts w:hint="eastAsia" w:ascii="仿宋_GB2312" w:hAnsi="仿宋" w:eastAsia="仿宋_GB2312" w:cs="Times New Roman"/>
                <w:bCs/>
                <w:color w:val="000000" w:themeColor="text1"/>
                <w:kern w:val="0"/>
                <w:sz w:val="28"/>
                <w:szCs w:val="28"/>
              </w:rPr>
              <w:t>第三十条：登记企业有下列行为之一的，责令改正，可以处3万元以下的罚款：</w:t>
            </w:r>
          </w:p>
          <w:p>
            <w:pPr>
              <w:spacing w:line="360" w:lineRule="exact"/>
              <w:ind w:firstLine="560" w:firstLineChars="200"/>
              <w:jc w:val="left"/>
              <w:rPr>
                <w:rFonts w:ascii="仿宋_GB2312" w:eastAsia="仿宋_GB2312"/>
                <w:sz w:val="28"/>
                <w:szCs w:val="28"/>
              </w:rPr>
            </w:pPr>
            <w:r>
              <w:rPr>
                <w:rFonts w:hint="eastAsia" w:ascii="仿宋_GB2312" w:hAnsi="仿宋" w:eastAsia="仿宋_GB2312" w:cs="Times New Roman"/>
                <w:bCs/>
                <w:color w:val="000000" w:themeColor="text1"/>
                <w:kern w:val="0"/>
                <w:sz w:val="28"/>
                <w:szCs w:val="28"/>
              </w:rPr>
              <w:t>（二）在危险化学品登记证有效期内企业名称、注册地址、应急咨询服务电话发生变化，未按规定按时办理危险化学品登记变更手续的；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12</w:t>
            </w:r>
          </w:p>
        </w:tc>
        <w:tc>
          <w:tcPr>
            <w:tcW w:w="2126" w:type="dxa"/>
            <w:vAlign w:val="center"/>
          </w:tcPr>
          <w:p>
            <w:pPr>
              <w:pStyle w:val="19"/>
              <w:spacing w:line="36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企业未按规定时限申请变更危化品经营许可证的企业名称、主要负责人、注册地址。</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jc w:val="left"/>
              <w:rPr>
                <w:rFonts w:ascii="仿宋_GB2312" w:eastAsia="仿宋_GB2312" w:cs="Times New Roman"/>
                <w:kern w:val="0"/>
                <w:sz w:val="28"/>
                <w:szCs w:val="28"/>
              </w:rPr>
            </w:pPr>
            <w:r>
              <w:rPr>
                <w:rFonts w:hint="eastAsia" w:ascii="仿宋_GB2312" w:eastAsia="仿宋_GB2312" w:cs="Times New Roman"/>
                <w:kern w:val="0"/>
                <w:sz w:val="28"/>
                <w:szCs w:val="28"/>
              </w:rPr>
              <w:t>2.未在变更之日起20个工作日内提出申请，但在期限届满后20个工作日内提出申请。</w:t>
            </w:r>
          </w:p>
        </w:tc>
        <w:tc>
          <w:tcPr>
            <w:tcW w:w="7371" w:type="dxa"/>
            <w:vAlign w:val="center"/>
          </w:tcPr>
          <w:p>
            <w:pPr>
              <w:widowControl/>
              <w:spacing w:line="360" w:lineRule="exact"/>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lang w:val="zh-CN"/>
              </w:rPr>
              <w:t>《</w:t>
            </w:r>
            <w:r>
              <w:rPr>
                <w:rFonts w:ascii="仿宋_GB2312" w:hAnsi="仿宋" w:eastAsia="仿宋_GB2312" w:cs="Times New Roman"/>
                <w:color w:val="000000" w:themeColor="text1"/>
                <w:kern w:val="0"/>
                <w:sz w:val="28"/>
                <w:szCs w:val="28"/>
                <w:lang w:val="zh-CN"/>
              </w:rPr>
              <w:t>危险化学品经营许可证管理办法</w:t>
            </w:r>
            <w:r>
              <w:rPr>
                <w:rFonts w:hint="eastAsia" w:ascii="仿宋_GB2312" w:hAnsi="仿宋" w:eastAsia="仿宋_GB2312" w:cs="Times New Roman"/>
                <w:color w:val="000000" w:themeColor="text1"/>
                <w:kern w:val="0"/>
                <w:sz w:val="28"/>
                <w:szCs w:val="28"/>
                <w:lang w:val="zh-CN"/>
              </w:rPr>
              <w:t>》（国家安全监管总局令第55号）</w:t>
            </w:r>
            <w:r>
              <w:rPr>
                <w:rFonts w:ascii="仿宋_GB2312" w:hAnsi="仿宋" w:eastAsia="仿宋_GB2312" w:cs="Times New Roman"/>
                <w:color w:val="000000" w:themeColor="text1"/>
                <w:kern w:val="0"/>
                <w:sz w:val="28"/>
                <w:szCs w:val="28"/>
              </w:rPr>
              <w:t>第十四条</w:t>
            </w:r>
            <w:r>
              <w:rPr>
                <w:rFonts w:hint="eastAsia" w:ascii="仿宋_GB2312" w:hAnsi="仿宋" w:eastAsia="仿宋_GB2312" w:cs="Times New Roman"/>
                <w:color w:val="000000" w:themeColor="text1"/>
                <w:kern w:val="0"/>
                <w:sz w:val="28"/>
                <w:szCs w:val="28"/>
              </w:rPr>
              <w:t>：</w:t>
            </w:r>
            <w:r>
              <w:rPr>
                <w:rFonts w:ascii="仿宋_GB2312" w:hAnsi="仿宋" w:eastAsia="仿宋_GB2312" w:cs="Times New Roman"/>
                <w:color w:val="000000" w:themeColor="text1"/>
                <w:kern w:val="0"/>
                <w:sz w:val="28"/>
                <w:szCs w:val="28"/>
              </w:rPr>
              <w:t>已经取得经营许可证的</w:t>
            </w:r>
            <w:r>
              <w:fldChar w:fldCharType="begin"/>
            </w:r>
            <w:r>
              <w:instrText xml:space="preserve"> HYPERLINK "https://baike.baidu.com/item/%E4%BC%81%E4%B8%9A%E5%8F%98%E6%9B%B4/4251276?fromModule=lemma_inlink" \t "https://baike.baidu.com/item/%E5%8D%B1%E9%99%A9%E5%8C%96%E5%AD%A6%E5%93%81%E7%BB%8F%E8%90%A5%E8%AE%B8%E5%8F%AF%E8%AF%81%E7%AE%A1%E7%90%86%E5%8A%9E%E6%B3%95/_blank" </w:instrText>
            </w:r>
            <w:r>
              <w:fldChar w:fldCharType="separate"/>
            </w:r>
            <w:r>
              <w:rPr>
                <w:rFonts w:ascii="仿宋_GB2312" w:hAnsi="仿宋" w:eastAsia="仿宋_GB2312" w:cs="Times New Roman"/>
                <w:color w:val="000000" w:themeColor="text1"/>
                <w:kern w:val="0"/>
                <w:sz w:val="28"/>
                <w:szCs w:val="28"/>
                <w:lang w:val="zh-CN"/>
              </w:rPr>
              <w:t>企业变更</w:t>
            </w:r>
            <w:r>
              <w:rPr>
                <w:rFonts w:ascii="仿宋_GB2312" w:hAnsi="仿宋" w:eastAsia="仿宋_GB2312" w:cs="Times New Roman"/>
                <w:color w:val="000000" w:themeColor="text1"/>
                <w:kern w:val="0"/>
                <w:sz w:val="28"/>
                <w:szCs w:val="28"/>
                <w:lang w:val="zh-CN"/>
              </w:rPr>
              <w:fldChar w:fldCharType="end"/>
            </w:r>
            <w:r>
              <w:rPr>
                <w:rFonts w:ascii="仿宋_GB2312" w:hAnsi="仿宋" w:eastAsia="仿宋_GB2312" w:cs="Times New Roman"/>
                <w:color w:val="000000" w:themeColor="text1"/>
                <w:kern w:val="0"/>
                <w:sz w:val="28"/>
                <w:szCs w:val="28"/>
              </w:rPr>
              <w:t>企业名称、主要负责人、注册地址或者危险化学品储存设施及其监控措施的，应当自变更之日起20个工作日内，向本办法第五条规定的发证机关提出书面</w:t>
            </w:r>
            <w:r>
              <w:fldChar w:fldCharType="begin"/>
            </w:r>
            <w:r>
              <w:instrText xml:space="preserve"> HYPERLINK "https://baike.baidu.com/item/%E5%8F%98%E6%9B%B4%E7%94%B3%E8%AF%B7/53357880?fromModule=lemma_inlink" \t "https://baike.baidu.com/item/%E5%8D%B1%E9%99%A9%E5%8C%96%E5%AD%A6%E5%93%81%E7%BB%8F%E8%90%A5%E8%AE%B8%E5%8F%AF%E8%AF%81%E7%AE%A1%E7%90%86%E5%8A%9E%E6%B3%95/_blank" </w:instrText>
            </w:r>
            <w:r>
              <w:fldChar w:fldCharType="separate"/>
            </w:r>
            <w:r>
              <w:rPr>
                <w:rFonts w:ascii="仿宋_GB2312" w:hAnsi="仿宋" w:eastAsia="仿宋_GB2312" w:cs="Times New Roman"/>
                <w:color w:val="000000" w:themeColor="text1"/>
                <w:kern w:val="0"/>
                <w:sz w:val="28"/>
                <w:szCs w:val="28"/>
                <w:lang w:val="zh-CN"/>
              </w:rPr>
              <w:t>变更申请</w:t>
            </w:r>
            <w:r>
              <w:rPr>
                <w:rFonts w:ascii="仿宋_GB2312" w:hAnsi="仿宋" w:eastAsia="仿宋_GB2312" w:cs="Times New Roman"/>
                <w:color w:val="000000" w:themeColor="text1"/>
                <w:kern w:val="0"/>
                <w:sz w:val="28"/>
                <w:szCs w:val="28"/>
                <w:lang w:val="zh-CN"/>
              </w:rPr>
              <w:fldChar w:fldCharType="end"/>
            </w:r>
            <w:r>
              <w:rPr>
                <w:rFonts w:ascii="仿宋_GB2312" w:hAnsi="仿宋" w:eastAsia="仿宋_GB2312" w:cs="Times New Roman"/>
                <w:color w:val="000000" w:themeColor="text1"/>
                <w:kern w:val="0"/>
                <w:sz w:val="28"/>
                <w:szCs w:val="28"/>
              </w:rPr>
              <w:t>，并提交下列文件、资料：</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（一）经营许可证变更申请书；</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（二）变更后的工商</w:t>
            </w:r>
            <w:r>
              <w:fldChar w:fldCharType="begin"/>
            </w:r>
            <w:r>
              <w:instrText xml:space="preserve"> HYPERLINK "https://baike.baidu.com/item/%E8%90%A5%E4%B8%9A%E6%89%A7%E7%85%A7%E5%89%AF%E6%9C%AC/3539097?fromModule=lemma_inlink" \t "https://baike.baidu.com/item/%E5%8D%B1%E9%99%A9%E5%8C%96%E5%AD%A6%E5%93%81%E7%BB%8F%E8%90%A5%E8%AE%B8%E5%8F%AF%E8%AF%81%E7%AE%A1%E7%90%86%E5%8A%9E%E6%B3%95/_blank" </w:instrText>
            </w:r>
            <w:r>
              <w:fldChar w:fldCharType="separate"/>
            </w:r>
            <w:r>
              <w:rPr>
                <w:rFonts w:ascii="仿宋_GB2312" w:hAnsi="仿宋" w:eastAsia="仿宋_GB2312" w:cs="Times New Roman"/>
                <w:color w:val="000000" w:themeColor="text1"/>
                <w:kern w:val="0"/>
                <w:sz w:val="28"/>
                <w:szCs w:val="28"/>
                <w:lang w:val="zh-CN"/>
              </w:rPr>
              <w:t>营业执照副本</w:t>
            </w:r>
            <w:r>
              <w:rPr>
                <w:rFonts w:ascii="仿宋_GB2312" w:hAnsi="仿宋" w:eastAsia="仿宋_GB2312" w:cs="Times New Roman"/>
                <w:color w:val="000000" w:themeColor="text1"/>
                <w:kern w:val="0"/>
                <w:sz w:val="28"/>
                <w:szCs w:val="28"/>
                <w:lang w:val="zh-CN"/>
              </w:rPr>
              <w:fldChar w:fldCharType="end"/>
            </w:r>
            <w:r>
              <w:rPr>
                <w:rFonts w:ascii="仿宋_GB2312" w:hAnsi="仿宋" w:eastAsia="仿宋_GB2312" w:cs="Times New Roman"/>
                <w:color w:val="000000" w:themeColor="text1"/>
                <w:kern w:val="0"/>
                <w:sz w:val="28"/>
                <w:szCs w:val="28"/>
              </w:rPr>
              <w:t>（复制件）；</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（三）变更后的主要负责人安全资格证书（复制件）；</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（四）变更注册地址的相关证明材料；</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（五）变更后的危险化学品储存设施及其监控措施的</w:t>
            </w:r>
            <w:r>
              <w:fldChar w:fldCharType="begin"/>
            </w:r>
            <w:r>
              <w:instrText xml:space="preserve"> HYPERLINK "https://baike.baidu.com/item/%E4%B8%93%E9%A1%B9%E5%AE%89%E5%85%A8%E8%AF%84%E4%BB%B7/3632455?fromModule=lemma_inlink" \t "https://baike.baidu.com/item/%E5%8D%B1%E9%99%A9%E5%8C%96%E5%AD%A6%E5%93%81%E7%BB%8F%E8%90%A5%E8%AE%B8%E5%8F%AF%E8%AF%81%E7%AE%A1%E7%90%86%E5%8A%9E%E6%B3%95/_blank" </w:instrText>
            </w:r>
            <w:r>
              <w:fldChar w:fldCharType="separate"/>
            </w:r>
            <w:r>
              <w:rPr>
                <w:rFonts w:ascii="仿宋_GB2312" w:hAnsi="仿宋" w:eastAsia="仿宋_GB2312" w:cs="Times New Roman"/>
                <w:color w:val="000000" w:themeColor="text1"/>
                <w:kern w:val="0"/>
                <w:sz w:val="28"/>
                <w:szCs w:val="28"/>
                <w:lang w:val="zh-CN"/>
              </w:rPr>
              <w:t>专项安全评价</w:t>
            </w:r>
            <w:r>
              <w:rPr>
                <w:rFonts w:ascii="仿宋_GB2312" w:hAnsi="仿宋" w:eastAsia="仿宋_GB2312" w:cs="Times New Roman"/>
                <w:color w:val="000000" w:themeColor="text1"/>
                <w:kern w:val="0"/>
                <w:sz w:val="28"/>
                <w:szCs w:val="28"/>
                <w:lang w:val="zh-CN"/>
              </w:rPr>
              <w:fldChar w:fldCharType="end"/>
            </w:r>
            <w:r>
              <w:rPr>
                <w:rFonts w:ascii="仿宋_GB2312" w:hAnsi="仿宋" w:eastAsia="仿宋_GB2312" w:cs="Times New Roman"/>
                <w:color w:val="000000" w:themeColor="text1"/>
                <w:kern w:val="0"/>
                <w:sz w:val="28"/>
                <w:szCs w:val="28"/>
              </w:rPr>
              <w:t>报告。</w:t>
            </w:r>
          </w:p>
          <w:p>
            <w:pPr>
              <w:widowControl/>
              <w:spacing w:line="360" w:lineRule="exact"/>
              <w:jc w:val="left"/>
              <w:rPr>
                <w:rFonts w:ascii="宋体" w:hAnsi="宋体" w:cs="宋体"/>
                <w:kern w:val="0"/>
                <w:sz w:val="24"/>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lang w:val="zh-CN"/>
              </w:rPr>
              <w:t>《</w:t>
            </w:r>
            <w:r>
              <w:rPr>
                <w:rFonts w:ascii="仿宋_GB2312" w:hAnsi="仿宋" w:eastAsia="仿宋_GB2312" w:cs="Times New Roman"/>
                <w:color w:val="000000" w:themeColor="text1"/>
                <w:kern w:val="0"/>
                <w:sz w:val="28"/>
                <w:szCs w:val="28"/>
                <w:lang w:val="zh-CN"/>
              </w:rPr>
              <w:t>危险化学品经营许可证管理办法</w:t>
            </w:r>
            <w:r>
              <w:rPr>
                <w:rFonts w:hint="eastAsia" w:ascii="仿宋_GB2312" w:hAnsi="仿宋" w:eastAsia="仿宋_GB2312" w:cs="Times New Roman"/>
                <w:color w:val="000000" w:themeColor="text1"/>
                <w:kern w:val="0"/>
                <w:sz w:val="28"/>
                <w:szCs w:val="28"/>
                <w:lang w:val="zh-CN"/>
              </w:rPr>
              <w:t>》（国家安全监管总局令第55号）第三十三条：已经取得经营许可证的企业出现本办法第十四条、第十六条规定的情形之一，未依照本办法的规定申请变更的，责令限期改正，处1万元以下的罚款；逾期仍不申请变更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13</w:t>
            </w:r>
          </w:p>
        </w:tc>
        <w:tc>
          <w:tcPr>
            <w:tcW w:w="2126" w:type="dxa"/>
            <w:vAlign w:val="center"/>
          </w:tcPr>
          <w:p>
            <w:pPr>
              <w:pStyle w:val="19"/>
              <w:spacing w:line="36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企业未按规定时限申请变更危化品安全使用许可证的主要负责人、企业名称、注册地址。</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2.未在营业执照变更之日起10个工作日内提出变更申请，但在期限届满后20个工作日内提出申请。</w:t>
            </w:r>
          </w:p>
        </w:tc>
        <w:tc>
          <w:tcPr>
            <w:tcW w:w="7371" w:type="dxa"/>
            <w:vAlign w:val="center"/>
          </w:tcPr>
          <w:p>
            <w:pPr>
              <w:widowControl/>
              <w:spacing w:line="360" w:lineRule="exact"/>
              <w:jc w:val="left"/>
              <w:rPr>
                <w:rFonts w:ascii="仿宋_GB2312" w:hAnsi="仿宋" w:eastAsia="仿宋_GB2312" w:cs="Times New Roman"/>
                <w:color w:val="000000" w:themeColor="text1"/>
                <w:kern w:val="0"/>
                <w:sz w:val="28"/>
                <w:szCs w:val="28"/>
                <w:lang w:val="zh-CN"/>
              </w:rPr>
            </w:pPr>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lang w:val="zh-CN"/>
              </w:rPr>
              <w:t>《</w:t>
            </w:r>
            <w:r>
              <w:rPr>
                <w:rFonts w:ascii="仿宋_GB2312" w:hAnsi="仿宋" w:eastAsia="仿宋_GB2312" w:cs="Times New Roman"/>
                <w:color w:val="000000" w:themeColor="text1"/>
                <w:kern w:val="0"/>
                <w:sz w:val="28"/>
                <w:szCs w:val="28"/>
                <w:lang w:val="zh-CN"/>
              </w:rPr>
              <w:t>危险化学品安全使用许可证实施办法</w:t>
            </w:r>
            <w:r>
              <w:rPr>
                <w:rFonts w:hint="eastAsia" w:ascii="仿宋_GB2312" w:hAnsi="仿宋" w:eastAsia="仿宋_GB2312" w:cs="Times New Roman"/>
                <w:color w:val="000000" w:themeColor="text1"/>
                <w:kern w:val="0"/>
                <w:sz w:val="28"/>
                <w:szCs w:val="28"/>
                <w:lang w:val="zh-CN"/>
              </w:rPr>
              <w:t>》（国家安全监管总局令第5</w:t>
            </w:r>
            <w:r>
              <w:rPr>
                <w:rFonts w:ascii="仿宋_GB2312" w:hAnsi="仿宋" w:eastAsia="仿宋_GB2312" w:cs="Times New Roman"/>
                <w:color w:val="000000" w:themeColor="text1"/>
                <w:kern w:val="0"/>
                <w:sz w:val="28"/>
                <w:szCs w:val="28"/>
                <w:lang w:val="zh-CN"/>
              </w:rPr>
              <w:t>7</w:t>
            </w:r>
            <w:r>
              <w:rPr>
                <w:rFonts w:hint="eastAsia" w:ascii="仿宋_GB2312" w:hAnsi="仿宋" w:eastAsia="仿宋_GB2312" w:cs="Times New Roman"/>
                <w:color w:val="000000" w:themeColor="text1"/>
                <w:kern w:val="0"/>
                <w:sz w:val="28"/>
                <w:szCs w:val="28"/>
                <w:lang w:val="zh-CN"/>
              </w:rPr>
              <w:t>号）</w:t>
            </w:r>
            <w:r>
              <w:rPr>
                <w:rFonts w:ascii="仿宋_GB2312" w:hAnsi="仿宋" w:eastAsia="仿宋_GB2312" w:cs="Times New Roman"/>
                <w:color w:val="000000" w:themeColor="text1"/>
                <w:kern w:val="0"/>
                <w:sz w:val="28"/>
                <w:szCs w:val="28"/>
              </w:rPr>
              <w:t>第二十四条</w:t>
            </w:r>
            <w:r>
              <w:rPr>
                <w:rFonts w:hint="eastAsia" w:ascii="仿宋_GB2312" w:hAnsi="仿宋" w:eastAsia="仿宋_GB2312" w:cs="Times New Roman"/>
                <w:color w:val="000000" w:themeColor="text1"/>
                <w:kern w:val="0"/>
                <w:sz w:val="28"/>
                <w:szCs w:val="28"/>
              </w:rPr>
              <w:t>第一款：</w:t>
            </w:r>
            <w:r>
              <w:rPr>
                <w:rFonts w:ascii="仿宋_GB2312" w:hAnsi="仿宋" w:eastAsia="仿宋_GB2312" w:cs="Times New Roman"/>
                <w:color w:val="000000" w:themeColor="text1"/>
                <w:kern w:val="0"/>
                <w:sz w:val="28"/>
                <w:szCs w:val="28"/>
              </w:rPr>
              <w:t>企业在安全使用许可证有效期内变更主要负责人、企业名称或者注册地址的，应当自工商营业执照变更之日起10个工作日内提出变更申请，并提交下列文件、资料：</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(一)变更申请书;</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(二)变更后的工商营业执照副本复制件;</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(三)变更主要负责人的，还应当提供主要负责人经安全生产监督管理部门考核合格后颁发的安全合格证复制件;</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(四)变更注册地址的，还应当提供相关证明材料。</w:t>
            </w:r>
          </w:p>
          <w:p>
            <w:pPr>
              <w:widowControl/>
              <w:spacing w:afterLines="100" w:line="360" w:lineRule="exact"/>
              <w:jc w:val="left"/>
              <w:rPr>
                <w:rFonts w:ascii="仿宋_GB2312" w:hAnsi="仿宋" w:eastAsia="仿宋_GB2312" w:cs="Times New Roman"/>
                <w:color w:val="000000" w:themeColor="text1"/>
                <w:kern w:val="0"/>
                <w:sz w:val="28"/>
                <w:szCs w:val="28"/>
                <w:lang w:val="zh-CN"/>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lang w:val="zh-CN"/>
              </w:rPr>
              <w:t>《</w:t>
            </w:r>
            <w:r>
              <w:rPr>
                <w:rFonts w:ascii="仿宋_GB2312" w:hAnsi="仿宋" w:eastAsia="仿宋_GB2312" w:cs="Times New Roman"/>
                <w:color w:val="000000" w:themeColor="text1"/>
                <w:kern w:val="0"/>
                <w:sz w:val="28"/>
                <w:szCs w:val="28"/>
                <w:lang w:val="zh-CN"/>
              </w:rPr>
              <w:t>危险化学品安全使用许可证实施办法</w:t>
            </w:r>
            <w:r>
              <w:rPr>
                <w:rFonts w:hint="eastAsia" w:ascii="仿宋_GB2312" w:hAnsi="仿宋" w:eastAsia="仿宋_GB2312" w:cs="Times New Roman"/>
                <w:color w:val="000000" w:themeColor="text1"/>
                <w:kern w:val="0"/>
                <w:sz w:val="28"/>
                <w:szCs w:val="28"/>
                <w:lang w:val="zh-CN"/>
              </w:rPr>
              <w:t>》（国家安全监管总局令第5</w:t>
            </w:r>
            <w:r>
              <w:rPr>
                <w:rFonts w:ascii="仿宋_GB2312" w:hAnsi="仿宋" w:eastAsia="仿宋_GB2312" w:cs="Times New Roman"/>
                <w:color w:val="000000" w:themeColor="text1"/>
                <w:kern w:val="0"/>
                <w:sz w:val="28"/>
                <w:szCs w:val="28"/>
                <w:lang w:val="zh-CN"/>
              </w:rPr>
              <w:t>7</w:t>
            </w:r>
            <w:r>
              <w:rPr>
                <w:rFonts w:hint="eastAsia" w:ascii="仿宋_GB2312" w:hAnsi="仿宋" w:eastAsia="仿宋_GB2312" w:cs="Times New Roman"/>
                <w:color w:val="000000" w:themeColor="text1"/>
                <w:kern w:val="0"/>
                <w:sz w:val="28"/>
                <w:szCs w:val="28"/>
                <w:lang w:val="zh-CN"/>
              </w:rPr>
              <w:t>号）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14</w:t>
            </w:r>
          </w:p>
        </w:tc>
        <w:tc>
          <w:tcPr>
            <w:tcW w:w="2126" w:type="dxa"/>
            <w:vAlign w:val="center"/>
          </w:tcPr>
          <w:p>
            <w:pPr>
              <w:pStyle w:val="19"/>
              <w:spacing w:line="36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工贸企业</w:t>
            </w:r>
            <w:r>
              <w:rPr>
                <w:rFonts w:hint="eastAsia" w:ascii="仿宋_GB2312" w:hAnsi="仿宋" w:eastAsia="仿宋_GB2312"/>
                <w:color w:val="000000" w:themeColor="text1"/>
                <w:sz w:val="28"/>
                <w:szCs w:val="28"/>
                <w:lang w:val="zh-CN"/>
              </w:rPr>
              <w:t>未按规定对有限空间作业进行辨识、提出防范措施、建立有限空间管理台账。</w:t>
            </w:r>
          </w:p>
        </w:tc>
        <w:tc>
          <w:tcPr>
            <w:tcW w:w="3686" w:type="dxa"/>
            <w:vAlign w:val="center"/>
          </w:tcPr>
          <w:p>
            <w:pPr>
              <w:spacing w:line="36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ascii="仿宋_GB2312" w:eastAsia="仿宋_GB2312" w:cs="Times New Roman"/>
                <w:kern w:val="0"/>
                <w:sz w:val="28"/>
                <w:szCs w:val="28"/>
              </w:rPr>
              <w:t>2.</w:t>
            </w:r>
            <w:r>
              <w:rPr>
                <w:rFonts w:hint="eastAsia" w:eastAsia="仿宋_GB2312" w:cs="Times New Roman"/>
                <w:kern w:val="0"/>
                <w:sz w:val="28"/>
                <w:szCs w:val="28"/>
              </w:rPr>
              <w:t>有证据证明已开展有限空间辨识工作</w:t>
            </w:r>
            <w:r>
              <w:rPr>
                <w:rFonts w:hint="eastAsia" w:ascii="仿宋_GB2312" w:eastAsia="仿宋_GB2312" w:cs="Times New Roman"/>
                <w:kern w:val="0"/>
                <w:sz w:val="28"/>
                <w:szCs w:val="28"/>
              </w:rPr>
              <w:t>，安全管理措施健全，仅有</w:t>
            </w:r>
            <w:r>
              <w:rPr>
                <w:rFonts w:ascii="仿宋_GB2312" w:eastAsia="仿宋_GB2312" w:cs="Times New Roman"/>
                <w:kern w:val="0"/>
                <w:sz w:val="28"/>
                <w:szCs w:val="28"/>
              </w:rPr>
              <w:t>1</w:t>
            </w:r>
            <w:r>
              <w:rPr>
                <w:rFonts w:hint="eastAsia" w:ascii="仿宋_GB2312" w:eastAsia="仿宋_GB2312" w:cs="Times New Roman"/>
                <w:kern w:val="0"/>
                <w:sz w:val="28"/>
                <w:szCs w:val="28"/>
              </w:rPr>
              <w:t>处有限空间因概念理解原因未辨识出。</w:t>
            </w:r>
          </w:p>
        </w:tc>
        <w:tc>
          <w:tcPr>
            <w:tcW w:w="7371" w:type="dxa"/>
            <w:vAlign w:val="center"/>
          </w:tcPr>
          <w:p>
            <w:pPr>
              <w:widowControl/>
              <w:spacing w:line="360" w:lineRule="exact"/>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lang w:val="zh-CN"/>
              </w:rPr>
              <w:t>《工贸企业有限空间作业安全管理与监督暂行规定》（国家安全监管总局令第59号）第七条：工贸企业应当对本企业的有限空间进行辨识，确定有限空间的数量、位置以及危险有害因素等基本情况，建立有限空间管理台账，并及时更新。</w:t>
            </w:r>
          </w:p>
          <w:p>
            <w:pPr>
              <w:widowControl/>
              <w:spacing w:line="360" w:lineRule="exact"/>
              <w:jc w:val="left"/>
              <w:rPr>
                <w:rFonts w:ascii="仿宋_GB2312" w:hAnsi="仿宋" w:eastAsia="仿宋_GB2312" w:cs="Times New Roman"/>
                <w:color w:val="000000" w:themeColor="text1"/>
                <w:kern w:val="0"/>
                <w:sz w:val="28"/>
                <w:szCs w:val="28"/>
                <w:lang w:val="zh-CN"/>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lang w:val="zh-CN"/>
              </w:rPr>
              <w:t>《工贸企业有限空间作业安全管理与监督暂行规定》（国家安全监管总局令第59号）第三十条第一项：工贸企业有下列情形之一的，由县级以上安全生产监督管理部门责令限期改正，可以处3万元以下的罚款，对其直接负责的主管人员和其他直接责任人员处1万元以下的罚款：</w:t>
            </w:r>
          </w:p>
          <w:p>
            <w:pPr>
              <w:widowControl/>
              <w:spacing w:line="360" w:lineRule="exact"/>
              <w:jc w:val="left"/>
              <w:rPr>
                <w:rFonts w:ascii="仿宋_GB2312" w:eastAsia="仿宋_GB2312"/>
                <w:sz w:val="28"/>
                <w:szCs w:val="28"/>
              </w:rPr>
            </w:pPr>
            <w:r>
              <w:rPr>
                <w:rFonts w:hint="eastAsia" w:ascii="仿宋_GB2312" w:hAnsi="仿宋" w:eastAsia="仿宋_GB2312" w:cs="Times New Roman"/>
                <w:color w:val="000000" w:themeColor="text1"/>
                <w:kern w:val="0"/>
                <w:sz w:val="28"/>
                <w:szCs w:val="28"/>
                <w:lang w:val="zh-CN"/>
              </w:rPr>
              <w:t xml:space="preserve">    （一）未按照本规定对有限空间作业进行辨识、提出防范措施、建立有限空间管理台账的；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15</w:t>
            </w:r>
          </w:p>
        </w:tc>
        <w:tc>
          <w:tcPr>
            <w:tcW w:w="2126" w:type="dxa"/>
            <w:vAlign w:val="center"/>
          </w:tcPr>
          <w:p>
            <w:pPr>
              <w:spacing w:line="360" w:lineRule="exact"/>
              <w:jc w:val="left"/>
              <w:rPr>
                <w:rFonts w:ascii="仿宋_GB2312" w:hAnsi="仿宋" w:eastAsia="仿宋_GB2312" w:cs="Times New Roman"/>
                <w:color w:val="000000" w:themeColor="text1"/>
                <w:sz w:val="28"/>
                <w:szCs w:val="28"/>
                <w:lang w:val="zh-CN"/>
              </w:rPr>
            </w:pPr>
            <w:r>
              <w:rPr>
                <w:rFonts w:hint="eastAsia" w:ascii="仿宋_GB2312" w:hAnsi="仿宋" w:eastAsia="仿宋_GB2312" w:cs="Times New Roman"/>
                <w:bCs/>
                <w:color w:val="000000" w:themeColor="text1"/>
                <w:kern w:val="0"/>
                <w:sz w:val="28"/>
                <w:szCs w:val="28"/>
              </w:rPr>
              <w:t>化学品单位未按规定建立化学品物理危险性鉴定与分类管理档案。</w:t>
            </w:r>
          </w:p>
        </w:tc>
        <w:tc>
          <w:tcPr>
            <w:tcW w:w="3686" w:type="dxa"/>
            <w:vAlign w:val="center"/>
          </w:tcPr>
          <w:p>
            <w:pPr>
              <w:spacing w:line="360" w:lineRule="exact"/>
              <w:rPr>
                <w:rFonts w:eastAsia="仿宋_GB2312" w:cs="Times New Roman"/>
                <w:kern w:val="0"/>
                <w:sz w:val="28"/>
                <w:szCs w:val="28"/>
              </w:rPr>
            </w:pPr>
            <w:r>
              <w:rPr>
                <w:rFonts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eastAsia="仿宋_GB2312" w:cs="Times New Roman"/>
                <w:kern w:val="0"/>
                <w:sz w:val="28"/>
                <w:szCs w:val="28"/>
              </w:rPr>
              <w:t>2.</w:t>
            </w:r>
            <w:r>
              <w:rPr>
                <w:rFonts w:hint="eastAsia" w:eastAsia="仿宋_GB2312" w:cs="Times New Roman"/>
                <w:kern w:val="0"/>
                <w:sz w:val="28"/>
                <w:szCs w:val="28"/>
              </w:rPr>
              <w:t>已按规定进行化学品物理危险性鉴定，未建立相关档案的化学品不超过3种。</w:t>
            </w:r>
          </w:p>
        </w:tc>
        <w:tc>
          <w:tcPr>
            <w:tcW w:w="7371" w:type="dxa"/>
            <w:vAlign w:val="center"/>
          </w:tcPr>
          <w:p>
            <w:pPr>
              <w:spacing w:line="360" w:lineRule="exact"/>
              <w:jc w:val="left"/>
              <w:rPr>
                <w:rFonts w:ascii="仿宋_GB2312" w:hAnsi="仿宋" w:eastAsia="仿宋_GB2312" w:cs="Times New Roman"/>
                <w:bCs/>
                <w:color w:val="000000" w:themeColor="text1"/>
                <w:kern w:val="0"/>
                <w:sz w:val="28"/>
                <w:szCs w:val="28"/>
              </w:rPr>
            </w:pPr>
            <w:r>
              <w:rPr>
                <w:rFonts w:hint="eastAsia" w:ascii="仿宋_GB2312" w:hAnsi="仿宋" w:eastAsia="仿宋_GB2312" w:cs="Times New Roman"/>
                <w:bCs/>
                <w:color w:val="000000" w:themeColor="text1"/>
                <w:kern w:val="0"/>
                <w:sz w:val="28"/>
                <w:szCs w:val="28"/>
              </w:rPr>
              <w:t>《化学品物理危险性鉴定与分类管理办法》</w:t>
            </w:r>
            <w:r>
              <w:rPr>
                <w:rFonts w:hint="eastAsia" w:ascii="仿宋_GB2312" w:hAnsi="仿宋" w:eastAsia="仿宋_GB2312" w:cs="Times New Roman"/>
                <w:color w:val="000000" w:themeColor="text1"/>
                <w:kern w:val="0"/>
                <w:sz w:val="28"/>
                <w:szCs w:val="28"/>
                <w:lang w:val="zh-CN"/>
              </w:rPr>
              <w:t>（国家安全监管总局令第</w:t>
            </w:r>
            <w:r>
              <w:rPr>
                <w:rFonts w:hint="eastAsia" w:ascii="仿宋_GB2312" w:hAnsi="仿宋" w:eastAsia="仿宋_GB2312" w:cs="Times New Roman"/>
                <w:color w:val="000000" w:themeColor="text1"/>
                <w:kern w:val="0"/>
                <w:sz w:val="28"/>
                <w:szCs w:val="28"/>
              </w:rPr>
              <w:t>60</w:t>
            </w:r>
            <w:r>
              <w:rPr>
                <w:rFonts w:hint="eastAsia" w:ascii="仿宋_GB2312" w:hAnsi="仿宋" w:eastAsia="仿宋_GB2312" w:cs="Times New Roman"/>
                <w:color w:val="000000" w:themeColor="text1"/>
                <w:kern w:val="0"/>
                <w:sz w:val="28"/>
                <w:szCs w:val="28"/>
                <w:lang w:val="zh-CN"/>
              </w:rPr>
              <w:t>号）</w:t>
            </w:r>
            <w:r>
              <w:rPr>
                <w:rFonts w:hint="eastAsia" w:ascii="仿宋_GB2312" w:hAnsi="仿宋" w:eastAsia="仿宋_GB2312" w:cs="Times New Roman"/>
                <w:bCs/>
                <w:color w:val="000000" w:themeColor="text1"/>
                <w:kern w:val="0"/>
                <w:sz w:val="28"/>
                <w:szCs w:val="28"/>
              </w:rPr>
              <w:t>第十六条：化学品单位应当建立化学品物理危险性鉴定与分类管理档案，内容应当包括：</w:t>
            </w:r>
          </w:p>
          <w:p>
            <w:pPr>
              <w:spacing w:line="360" w:lineRule="exact"/>
              <w:ind w:firstLine="560" w:firstLineChars="200"/>
              <w:jc w:val="left"/>
              <w:rPr>
                <w:rFonts w:ascii="仿宋_GB2312" w:hAnsi="仿宋" w:eastAsia="仿宋_GB2312" w:cs="Times New Roman"/>
                <w:bCs/>
                <w:color w:val="000000" w:themeColor="text1"/>
                <w:kern w:val="0"/>
                <w:sz w:val="28"/>
                <w:szCs w:val="28"/>
              </w:rPr>
            </w:pPr>
            <w:r>
              <w:rPr>
                <w:rFonts w:hint="eastAsia" w:ascii="仿宋_GB2312" w:hAnsi="仿宋" w:eastAsia="仿宋_GB2312" w:cs="Times New Roman"/>
                <w:bCs/>
                <w:color w:val="000000" w:themeColor="text1"/>
                <w:kern w:val="0"/>
                <w:sz w:val="28"/>
                <w:szCs w:val="28"/>
              </w:rPr>
              <w:t>（一）已知物理危险性的化学品的危险特性等信息；</w:t>
            </w:r>
          </w:p>
          <w:p>
            <w:pPr>
              <w:spacing w:line="360" w:lineRule="exact"/>
              <w:ind w:firstLine="560" w:firstLineChars="200"/>
              <w:jc w:val="left"/>
              <w:rPr>
                <w:rFonts w:ascii="仿宋_GB2312" w:hAnsi="仿宋" w:eastAsia="仿宋_GB2312" w:cs="Times New Roman"/>
                <w:bCs/>
                <w:color w:val="000000" w:themeColor="text1"/>
                <w:kern w:val="0"/>
                <w:sz w:val="28"/>
                <w:szCs w:val="28"/>
              </w:rPr>
            </w:pPr>
            <w:r>
              <w:rPr>
                <w:rFonts w:hint="eastAsia" w:ascii="仿宋_GB2312" w:hAnsi="仿宋" w:eastAsia="仿宋_GB2312" w:cs="Times New Roman"/>
                <w:bCs/>
                <w:color w:val="000000" w:themeColor="text1"/>
                <w:kern w:val="0"/>
                <w:sz w:val="28"/>
                <w:szCs w:val="28"/>
              </w:rPr>
              <w:t>（二）已经鉴定与分类化学品的物理危险性鉴定报告、分类报告和审核意见等信息；</w:t>
            </w:r>
          </w:p>
          <w:p>
            <w:pPr>
              <w:spacing w:line="360" w:lineRule="exact"/>
              <w:ind w:firstLine="560" w:firstLineChars="200"/>
              <w:jc w:val="left"/>
              <w:rPr>
                <w:rFonts w:ascii="仿宋_GB2312" w:hAnsi="仿宋" w:eastAsia="仿宋_GB2312" w:cs="Times New Roman"/>
                <w:bCs/>
                <w:color w:val="000000" w:themeColor="text1"/>
                <w:kern w:val="0"/>
                <w:sz w:val="28"/>
                <w:szCs w:val="28"/>
              </w:rPr>
            </w:pPr>
            <w:r>
              <w:rPr>
                <w:rFonts w:hint="eastAsia" w:ascii="仿宋_GB2312" w:hAnsi="仿宋" w:eastAsia="仿宋_GB2312" w:cs="Times New Roman"/>
                <w:bCs/>
                <w:color w:val="000000" w:themeColor="text1"/>
                <w:kern w:val="0"/>
                <w:sz w:val="28"/>
                <w:szCs w:val="28"/>
              </w:rPr>
              <w:t>（三）未进行鉴定与分类化学品的名称、数量等信息。</w:t>
            </w:r>
          </w:p>
          <w:p>
            <w:pPr>
              <w:spacing w:line="360" w:lineRule="exact"/>
              <w:jc w:val="left"/>
              <w:rPr>
                <w:rFonts w:ascii="仿宋_GB2312" w:hAnsi="仿宋" w:eastAsia="仿宋_GB2312" w:cs="Times New Roman"/>
                <w:bCs/>
                <w:color w:val="000000" w:themeColor="text1"/>
                <w:kern w:val="0"/>
                <w:sz w:val="28"/>
                <w:szCs w:val="28"/>
              </w:rPr>
            </w:pPr>
            <w:r>
              <w:rPr>
                <w:rFonts w:hint="eastAsia" w:ascii="仿宋_GB2312" w:eastAsia="仿宋_GB2312"/>
                <w:sz w:val="28"/>
                <w:szCs w:val="28"/>
              </w:rPr>
              <w:t>【处罚依据】</w:t>
            </w:r>
            <w:r>
              <w:rPr>
                <w:rFonts w:hint="eastAsia" w:ascii="仿宋_GB2312" w:hAnsi="仿宋" w:eastAsia="仿宋_GB2312" w:cs="Times New Roman"/>
                <w:bCs/>
                <w:color w:val="000000" w:themeColor="text1"/>
                <w:kern w:val="0"/>
                <w:sz w:val="28"/>
                <w:szCs w:val="28"/>
              </w:rPr>
              <w:t>《化学品物理危险性鉴定与分类管理办法》第十九条第二项：化学品单位有下列情形之一的，由安全生产监督管理部门责令限期改正，可以处1万元以下的罚款；拒不改正的，处1万元以上3万元以下的罚款：</w:t>
            </w:r>
          </w:p>
          <w:p>
            <w:pPr>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hint="eastAsia" w:ascii="仿宋_GB2312" w:hAnsi="仿宋" w:eastAsia="仿宋_GB2312" w:cs="Times New Roman"/>
                <w:bCs/>
                <w:color w:val="000000" w:themeColor="text1"/>
                <w:kern w:val="0"/>
                <w:sz w:val="28"/>
                <w:szCs w:val="28"/>
              </w:rPr>
              <w:t>（二）未按照本办法规定建立化学品物理危险性鉴定与分类管理档案的；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16</w:t>
            </w:r>
          </w:p>
        </w:tc>
        <w:tc>
          <w:tcPr>
            <w:tcW w:w="2126" w:type="dxa"/>
            <w:vAlign w:val="center"/>
          </w:tcPr>
          <w:p>
            <w:pPr>
              <w:pStyle w:val="19"/>
              <w:spacing w:line="36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烟花爆竹批发企业未按规定时限申请变更批发许可证的企业名称、主要负责人、注册地址。</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ascii="仿宋_GB2312" w:eastAsia="仿宋_GB2312" w:cs="Times New Roman"/>
                <w:kern w:val="0"/>
                <w:sz w:val="28"/>
                <w:szCs w:val="28"/>
              </w:rPr>
              <w:t>2.</w:t>
            </w:r>
            <w:r>
              <w:rPr>
                <w:rFonts w:hint="eastAsia" w:ascii="仿宋_GB2312" w:eastAsia="仿宋_GB2312" w:cs="Times New Roman"/>
                <w:kern w:val="0"/>
                <w:sz w:val="28"/>
                <w:szCs w:val="28"/>
              </w:rPr>
              <w:t>未在变更之日起10个工作日内提出变更申请，但在期限届满后2</w:t>
            </w:r>
            <w:r>
              <w:rPr>
                <w:rFonts w:ascii="仿宋_GB2312" w:eastAsia="仿宋_GB2312" w:cs="Times New Roman"/>
                <w:kern w:val="0"/>
                <w:sz w:val="28"/>
                <w:szCs w:val="28"/>
              </w:rPr>
              <w:t>0</w:t>
            </w:r>
            <w:r>
              <w:rPr>
                <w:rFonts w:hint="eastAsia" w:ascii="仿宋_GB2312" w:eastAsia="仿宋_GB2312" w:cs="Times New Roman"/>
                <w:kern w:val="0"/>
                <w:sz w:val="28"/>
                <w:szCs w:val="28"/>
              </w:rPr>
              <w:t>个工作日内提出申请。</w:t>
            </w:r>
          </w:p>
        </w:tc>
        <w:tc>
          <w:tcPr>
            <w:tcW w:w="7371" w:type="dxa"/>
            <w:vAlign w:val="center"/>
          </w:tcPr>
          <w:p>
            <w:pPr>
              <w:widowControl/>
              <w:spacing w:line="360" w:lineRule="exact"/>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lang w:val="zh-CN"/>
              </w:rPr>
              <w:t>《烟花爆竹经营许可实施办法》（国家安全监管总局令第65号）</w:t>
            </w:r>
            <w:r>
              <w:rPr>
                <w:rFonts w:ascii="仿宋_GB2312" w:hAnsi="仿宋" w:eastAsia="仿宋_GB2312" w:cs="Times New Roman"/>
                <w:color w:val="000000" w:themeColor="text1"/>
                <w:kern w:val="0"/>
                <w:sz w:val="28"/>
                <w:szCs w:val="28"/>
              </w:rPr>
              <w:t>第十五条</w:t>
            </w:r>
            <w:r>
              <w:rPr>
                <w:rFonts w:hint="eastAsia" w:ascii="仿宋_GB2312" w:hAnsi="仿宋" w:eastAsia="仿宋_GB2312" w:cs="Times New Roman"/>
                <w:color w:val="000000" w:themeColor="text1"/>
                <w:kern w:val="0"/>
                <w:sz w:val="28"/>
                <w:szCs w:val="28"/>
              </w:rPr>
              <w:t>第一款：</w:t>
            </w:r>
            <w:r>
              <w:rPr>
                <w:rFonts w:ascii="仿宋_GB2312" w:hAnsi="仿宋" w:eastAsia="仿宋_GB2312" w:cs="Times New Roman"/>
                <w:color w:val="000000" w:themeColor="text1"/>
                <w:kern w:val="0"/>
                <w:sz w:val="28"/>
                <w:szCs w:val="28"/>
              </w:rPr>
              <w:t>批发企业在批发许可证有效期内变更企业名称、主要负责人和注册地址的，应当自变更之日起10个工作日内向原发证机关提出变更，并提交下列文件、资料：</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（一）批发许可证变更申请书（一式三份）；</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（二）变更后的企业名称工商预核准文件或者工商营业执照副本复制件；</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ascii="仿宋_GB2312" w:hAnsi="仿宋" w:eastAsia="仿宋_GB2312" w:cs="Times New Roman"/>
                <w:color w:val="000000" w:themeColor="text1"/>
                <w:kern w:val="0"/>
                <w:sz w:val="28"/>
                <w:szCs w:val="28"/>
              </w:rPr>
              <w:t>（三）变更后的主要负责人安全资格证书复制件。</w:t>
            </w:r>
          </w:p>
          <w:p>
            <w:pPr>
              <w:widowControl/>
              <w:spacing w:line="360" w:lineRule="exact"/>
              <w:jc w:val="left"/>
              <w:rPr>
                <w:rFonts w:ascii="仿宋_GB2312" w:hAnsi="仿宋" w:eastAsia="仿宋_GB2312" w:cs="Times New Roman"/>
                <w:color w:val="000000" w:themeColor="text1"/>
                <w:kern w:val="0"/>
                <w:sz w:val="28"/>
                <w:szCs w:val="28"/>
                <w:lang w:val="zh-CN"/>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lang w:val="zh-CN"/>
              </w:rPr>
              <w:t>《烟花爆竹经营许可实施办法》（国家安全监管总局令第65号）第三十二条第九项：批发企业有下列行为之一的，责令其限期改正，处5000元以上3万元以下的罚款：</w:t>
            </w:r>
          </w:p>
          <w:p>
            <w:pPr>
              <w:widowControl/>
              <w:spacing w:line="360" w:lineRule="exact"/>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color w:val="000000" w:themeColor="text1"/>
                <w:kern w:val="0"/>
                <w:sz w:val="28"/>
                <w:szCs w:val="28"/>
                <w:lang w:val="zh-CN"/>
              </w:rPr>
              <w:t xml:space="preserve">    （九）变更企业名称、主要负责人、注册地址，未申请办理许可证变更手续的；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17</w:t>
            </w:r>
          </w:p>
        </w:tc>
        <w:tc>
          <w:tcPr>
            <w:tcW w:w="2126" w:type="dxa"/>
            <w:vAlign w:val="center"/>
          </w:tcPr>
          <w:p>
            <w:pPr>
              <w:spacing w:line="360" w:lineRule="exact"/>
              <w:jc w:val="left"/>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kern w:val="0"/>
                <w:sz w:val="28"/>
                <w:szCs w:val="28"/>
              </w:rPr>
              <w:t>生产经营单位在应急预案编制前未按照规定开展风险辨识、评估和应急资源调查。</w:t>
            </w:r>
          </w:p>
        </w:tc>
        <w:tc>
          <w:tcPr>
            <w:tcW w:w="3686" w:type="dxa"/>
            <w:vAlign w:val="center"/>
          </w:tcPr>
          <w:p>
            <w:pPr>
              <w:spacing w:line="36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1.初次违法且危害后果轻微并及时改正；</w:t>
            </w:r>
          </w:p>
          <w:p>
            <w:pPr>
              <w:spacing w:line="360" w:lineRule="exact"/>
              <w:jc w:val="left"/>
              <w:rPr>
                <w:rFonts w:ascii="仿宋_GB2312" w:eastAsia="仿宋_GB2312" w:cs="Times New Roman"/>
                <w:kern w:val="0"/>
                <w:sz w:val="28"/>
                <w:szCs w:val="28"/>
              </w:rPr>
            </w:pPr>
            <w:r>
              <w:rPr>
                <w:rFonts w:hint="eastAsia" w:ascii="仿宋_GB2312" w:eastAsia="仿宋_GB2312" w:cs="Times New Roman"/>
                <w:color w:val="000000" w:themeColor="text1"/>
                <w:kern w:val="0"/>
                <w:sz w:val="28"/>
                <w:szCs w:val="28"/>
              </w:rPr>
              <w:t>2.企业应急预案符合《生产安全事故应急预案管理办法》第八条的要求（风险辨识、评估和应急资源调查相关要求除外）。</w:t>
            </w:r>
          </w:p>
        </w:tc>
        <w:tc>
          <w:tcPr>
            <w:tcW w:w="7371" w:type="dxa"/>
            <w:vAlign w:val="center"/>
          </w:tcPr>
          <w:p>
            <w:pPr>
              <w:spacing w:line="360" w:lineRule="exact"/>
              <w:jc w:val="left"/>
              <w:rPr>
                <w:rFonts w:ascii="仿宋_GB2312" w:hAnsi="仿宋" w:eastAsia="仿宋_GB2312" w:cs="Times New Roman"/>
                <w:bCs/>
                <w:color w:val="000000" w:themeColor="text1"/>
                <w:kern w:val="0"/>
                <w:sz w:val="28"/>
                <w:szCs w:val="28"/>
                <w:shd w:val="clear" w:color="auto" w:fill="FFFFFF"/>
              </w:rPr>
            </w:pPr>
            <w:r>
              <w:rPr>
                <w:rFonts w:hint="eastAsia" w:ascii="仿宋_GB2312" w:hAnsi="仿宋" w:eastAsia="仿宋_GB2312" w:cs="Times New Roman"/>
                <w:bCs/>
                <w:color w:val="000000" w:themeColor="text1"/>
                <w:kern w:val="0"/>
                <w:sz w:val="28"/>
                <w:szCs w:val="28"/>
              </w:rPr>
              <w:t>【法律规定】《生产安全事故应急预案管理办法》（</w:t>
            </w:r>
            <w:r>
              <w:rPr>
                <w:rFonts w:hint="eastAsia" w:ascii="仿宋_GB2312" w:hAnsi="仿宋" w:eastAsia="仿宋_GB2312" w:cs="Times New Roman"/>
                <w:bCs/>
                <w:color w:val="000000" w:themeColor="text1"/>
                <w:kern w:val="0"/>
                <w:sz w:val="28"/>
                <w:szCs w:val="28"/>
                <w:shd w:val="clear" w:color="auto" w:fill="FFFFFF"/>
              </w:rPr>
              <w:t>应急管理部令第</w:t>
            </w:r>
            <w:r>
              <w:rPr>
                <w:rFonts w:hint="eastAsia" w:ascii="仿宋_GB2312" w:eastAsia="仿宋_GB2312" w:cs="Times New Roman"/>
                <w:bCs/>
                <w:color w:val="000000" w:themeColor="text1"/>
                <w:kern w:val="0"/>
                <w:sz w:val="28"/>
                <w:szCs w:val="28"/>
                <w:shd w:val="clear" w:color="auto" w:fill="FFFFFF"/>
              </w:rPr>
              <w:t>2</w:t>
            </w:r>
            <w:r>
              <w:rPr>
                <w:rFonts w:hint="eastAsia" w:ascii="仿宋_GB2312" w:hAnsi="仿宋" w:eastAsia="仿宋_GB2312" w:cs="Times New Roman"/>
                <w:bCs/>
                <w:color w:val="000000" w:themeColor="text1"/>
                <w:kern w:val="0"/>
                <w:sz w:val="28"/>
                <w:szCs w:val="28"/>
                <w:shd w:val="clear" w:color="auto" w:fill="FFFFFF"/>
              </w:rPr>
              <w:t>号）</w:t>
            </w:r>
            <w:r>
              <w:rPr>
                <w:rFonts w:hint="eastAsia" w:ascii="仿宋_GB2312" w:hAnsi="仿宋" w:eastAsia="仿宋_GB2312" w:cs="Times New Roman"/>
                <w:bCs/>
                <w:color w:val="000000" w:themeColor="text1"/>
                <w:kern w:val="0"/>
                <w:sz w:val="28"/>
                <w:szCs w:val="28"/>
              </w:rPr>
              <w:t>第十条第一款：</w:t>
            </w:r>
            <w:r>
              <w:rPr>
                <w:rFonts w:ascii="仿宋_GB2312" w:hAnsi="仿宋" w:eastAsia="仿宋_GB2312" w:cs="Times New Roman"/>
                <w:bCs/>
                <w:color w:val="000000" w:themeColor="text1"/>
                <w:kern w:val="0"/>
                <w:sz w:val="28"/>
                <w:szCs w:val="28"/>
              </w:rPr>
              <w:t>编制应急预案前，编制单位应当进行事故风险辨识、评估和应急资源调查。</w:t>
            </w:r>
          </w:p>
          <w:p>
            <w:pPr>
              <w:spacing w:line="360" w:lineRule="exact"/>
              <w:jc w:val="left"/>
              <w:rPr>
                <w:rFonts w:ascii="仿宋_GB2312" w:eastAsia="仿宋_GB2312" w:cs="Times New Roman"/>
                <w:bCs/>
                <w:color w:val="000000" w:themeColor="text1"/>
                <w:kern w:val="0"/>
                <w:sz w:val="28"/>
                <w:szCs w:val="28"/>
              </w:rPr>
            </w:pPr>
            <w:r>
              <w:rPr>
                <w:rFonts w:hint="eastAsia" w:ascii="仿宋_GB2312" w:eastAsia="仿宋_GB2312"/>
                <w:sz w:val="28"/>
                <w:szCs w:val="28"/>
              </w:rPr>
              <w:t>【处罚依据】</w:t>
            </w:r>
            <w:r>
              <w:rPr>
                <w:rFonts w:hint="eastAsia" w:ascii="仿宋_GB2312" w:hAnsi="仿宋" w:eastAsia="仿宋_GB2312" w:cs="Times New Roman"/>
                <w:bCs/>
                <w:color w:val="000000" w:themeColor="text1"/>
                <w:kern w:val="0"/>
                <w:sz w:val="28"/>
                <w:szCs w:val="28"/>
              </w:rPr>
              <w:t>《生产安全事故应急预案管理办法》（</w:t>
            </w:r>
            <w:r>
              <w:rPr>
                <w:rFonts w:hint="eastAsia" w:ascii="仿宋_GB2312" w:hAnsi="仿宋" w:eastAsia="仿宋_GB2312" w:cs="Times New Roman"/>
                <w:bCs/>
                <w:color w:val="000000" w:themeColor="text1"/>
                <w:kern w:val="0"/>
                <w:sz w:val="28"/>
                <w:szCs w:val="28"/>
                <w:shd w:val="clear" w:color="auto" w:fill="FFFFFF"/>
              </w:rPr>
              <w:t>应急管理部令第</w:t>
            </w:r>
            <w:r>
              <w:rPr>
                <w:rFonts w:hint="eastAsia" w:ascii="仿宋_GB2312" w:eastAsia="仿宋_GB2312" w:cs="Times New Roman"/>
                <w:bCs/>
                <w:color w:val="000000" w:themeColor="text1"/>
                <w:kern w:val="0"/>
                <w:sz w:val="28"/>
                <w:szCs w:val="28"/>
                <w:shd w:val="clear" w:color="auto" w:fill="FFFFFF"/>
              </w:rPr>
              <w:t>2</w:t>
            </w:r>
            <w:r>
              <w:rPr>
                <w:rFonts w:hint="eastAsia" w:ascii="仿宋_GB2312" w:hAnsi="仿宋" w:eastAsia="仿宋_GB2312" w:cs="Times New Roman"/>
                <w:bCs/>
                <w:color w:val="000000" w:themeColor="text1"/>
                <w:kern w:val="0"/>
                <w:sz w:val="28"/>
                <w:szCs w:val="28"/>
                <w:shd w:val="clear" w:color="auto" w:fill="FFFFFF"/>
              </w:rPr>
              <w:t>号）</w:t>
            </w:r>
            <w:r>
              <w:rPr>
                <w:rFonts w:hint="eastAsia" w:ascii="仿宋_GB2312" w:hAnsi="仿宋" w:eastAsia="仿宋_GB2312" w:cs="Times New Roman"/>
                <w:bCs/>
                <w:color w:val="000000" w:themeColor="text1"/>
                <w:kern w:val="0"/>
                <w:sz w:val="28"/>
                <w:szCs w:val="28"/>
              </w:rPr>
              <w:t>第四十五条第一项：生产经营单位有下列情形之一的，由县级以上人民政府应急管理部门责令限期改正，可以处</w:t>
            </w:r>
            <w:r>
              <w:rPr>
                <w:rFonts w:hint="eastAsia" w:ascii="仿宋_GB2312" w:eastAsia="仿宋_GB2312" w:cs="Times New Roman"/>
                <w:bCs/>
                <w:color w:val="000000" w:themeColor="text1"/>
                <w:kern w:val="0"/>
                <w:sz w:val="28"/>
                <w:szCs w:val="28"/>
              </w:rPr>
              <w:t>1</w:t>
            </w:r>
            <w:r>
              <w:rPr>
                <w:rFonts w:hint="eastAsia" w:ascii="仿宋_GB2312" w:hAnsi="仿宋" w:eastAsia="仿宋_GB2312" w:cs="Times New Roman"/>
                <w:bCs/>
                <w:color w:val="000000" w:themeColor="text1"/>
                <w:kern w:val="0"/>
                <w:sz w:val="28"/>
                <w:szCs w:val="28"/>
              </w:rPr>
              <w:t>万元以上</w:t>
            </w:r>
            <w:r>
              <w:rPr>
                <w:rFonts w:hint="eastAsia" w:ascii="仿宋_GB2312" w:eastAsia="仿宋_GB2312" w:cs="Times New Roman"/>
                <w:bCs/>
                <w:color w:val="000000" w:themeColor="text1"/>
                <w:kern w:val="0"/>
                <w:sz w:val="28"/>
                <w:szCs w:val="28"/>
              </w:rPr>
              <w:t>3</w:t>
            </w:r>
            <w:r>
              <w:rPr>
                <w:rFonts w:hint="eastAsia" w:ascii="仿宋_GB2312" w:hAnsi="仿宋" w:eastAsia="仿宋_GB2312" w:cs="Times New Roman"/>
                <w:bCs/>
                <w:color w:val="000000" w:themeColor="text1"/>
                <w:kern w:val="0"/>
                <w:sz w:val="28"/>
                <w:szCs w:val="28"/>
              </w:rPr>
              <w:t>万元以下的罚款：</w:t>
            </w:r>
          </w:p>
          <w:p>
            <w:pPr>
              <w:spacing w:line="360" w:lineRule="exact"/>
              <w:ind w:firstLine="560" w:firstLineChars="200"/>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bCs/>
                <w:color w:val="000000" w:themeColor="text1"/>
                <w:kern w:val="0"/>
                <w:sz w:val="28"/>
                <w:szCs w:val="28"/>
              </w:rPr>
              <w:t>（一）在应急预案编制前未按照规定开展风险辨识、评估和应急资源调查的；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18</w:t>
            </w:r>
          </w:p>
        </w:tc>
        <w:tc>
          <w:tcPr>
            <w:tcW w:w="2126" w:type="dxa"/>
            <w:vAlign w:val="center"/>
          </w:tcPr>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eastAsia="仿宋_GB2312" w:cs="Times New Roman"/>
                <w:kern w:val="0"/>
                <w:sz w:val="28"/>
                <w:szCs w:val="28"/>
              </w:rPr>
              <w:t>生产经营单位未将事故风险的性质、影响范围和应急防范措施告知周边单位和人员。</w:t>
            </w:r>
          </w:p>
        </w:tc>
        <w:tc>
          <w:tcPr>
            <w:tcW w:w="3686" w:type="dxa"/>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jc w:val="left"/>
              <w:rPr>
                <w:rFonts w:ascii="仿宋_GB2312" w:eastAsia="仿宋_GB2312" w:cs="Times New Roman"/>
                <w:kern w:val="0"/>
                <w:sz w:val="28"/>
                <w:szCs w:val="28"/>
              </w:rPr>
            </w:pPr>
            <w:r>
              <w:rPr>
                <w:rFonts w:hint="eastAsia" w:ascii="仿宋_GB2312" w:eastAsia="仿宋_GB2312" w:cs="Times New Roman"/>
                <w:kern w:val="0"/>
                <w:sz w:val="28"/>
                <w:szCs w:val="28"/>
              </w:rPr>
              <w:t>2.矿山、金属冶炼企业，危险物品生产、经营（带储存设施）、储存企业，有重大危险源的企业除外；</w:t>
            </w:r>
          </w:p>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eastAsia="仿宋_GB2312" w:cs="Times New Roman"/>
                <w:kern w:val="0"/>
                <w:sz w:val="28"/>
                <w:szCs w:val="28"/>
              </w:rPr>
              <w:t>3.周边无宾馆、商场、学校等公众聚集场所或人员密集场所。</w:t>
            </w:r>
          </w:p>
        </w:tc>
        <w:tc>
          <w:tcPr>
            <w:tcW w:w="7371" w:type="dxa"/>
          </w:tcPr>
          <w:p>
            <w:pPr>
              <w:spacing w:line="360" w:lineRule="exact"/>
              <w:jc w:val="left"/>
              <w:rPr>
                <w:rFonts w:ascii="仿宋_GB2312" w:hAnsi="仿宋" w:eastAsia="仿宋_GB2312" w:cs="Times New Roman"/>
                <w:bCs/>
                <w:color w:val="000000" w:themeColor="text1"/>
                <w:kern w:val="0"/>
                <w:sz w:val="28"/>
                <w:szCs w:val="28"/>
                <w:shd w:val="clear" w:color="auto" w:fill="FFFFFF"/>
              </w:rPr>
            </w:pPr>
            <w:r>
              <w:rPr>
                <w:rFonts w:hint="eastAsia" w:ascii="仿宋_GB2312" w:hAnsi="仿宋" w:eastAsia="仿宋_GB2312" w:cs="Times New Roman"/>
                <w:bCs/>
                <w:color w:val="000000" w:themeColor="text1"/>
                <w:kern w:val="0"/>
                <w:sz w:val="28"/>
                <w:szCs w:val="28"/>
              </w:rPr>
              <w:t>【法律规定】《生产安全事故应急预案管理办法》（</w:t>
            </w:r>
            <w:r>
              <w:rPr>
                <w:rFonts w:hint="eastAsia" w:ascii="仿宋_GB2312" w:hAnsi="仿宋" w:eastAsia="仿宋_GB2312" w:cs="Times New Roman"/>
                <w:bCs/>
                <w:color w:val="000000" w:themeColor="text1"/>
                <w:kern w:val="0"/>
                <w:sz w:val="28"/>
                <w:szCs w:val="28"/>
                <w:shd w:val="clear" w:color="auto" w:fill="FFFFFF"/>
              </w:rPr>
              <w:t>应急管理部令第</w:t>
            </w:r>
            <w:r>
              <w:rPr>
                <w:rFonts w:hint="eastAsia" w:ascii="仿宋_GB2312" w:eastAsia="仿宋_GB2312" w:cs="Times New Roman"/>
                <w:bCs/>
                <w:color w:val="000000" w:themeColor="text1"/>
                <w:kern w:val="0"/>
                <w:sz w:val="28"/>
                <w:szCs w:val="28"/>
                <w:shd w:val="clear" w:color="auto" w:fill="FFFFFF"/>
              </w:rPr>
              <w:t>2</w:t>
            </w:r>
            <w:r>
              <w:rPr>
                <w:rFonts w:hint="eastAsia" w:ascii="仿宋_GB2312" w:hAnsi="仿宋" w:eastAsia="仿宋_GB2312" w:cs="Times New Roman"/>
                <w:bCs/>
                <w:color w:val="000000" w:themeColor="text1"/>
                <w:kern w:val="0"/>
                <w:sz w:val="28"/>
                <w:szCs w:val="28"/>
                <w:shd w:val="clear" w:color="auto" w:fill="FFFFFF"/>
              </w:rPr>
              <w:t>号）</w:t>
            </w:r>
            <w:r>
              <w:rPr>
                <w:rFonts w:ascii="仿宋_GB2312" w:hAnsi="仿宋" w:eastAsia="仿宋_GB2312" w:cs="Times New Roman"/>
                <w:bCs/>
                <w:color w:val="000000" w:themeColor="text1"/>
                <w:kern w:val="0"/>
                <w:sz w:val="28"/>
                <w:szCs w:val="28"/>
              </w:rPr>
              <w:t>第二十四条</w:t>
            </w:r>
            <w:r>
              <w:rPr>
                <w:rFonts w:hint="eastAsia" w:ascii="仿宋_GB2312" w:hAnsi="仿宋" w:eastAsia="仿宋_GB2312" w:cs="Times New Roman"/>
                <w:bCs/>
                <w:color w:val="000000" w:themeColor="text1"/>
                <w:kern w:val="0"/>
                <w:sz w:val="28"/>
                <w:szCs w:val="28"/>
              </w:rPr>
              <w:t>第二款：</w:t>
            </w:r>
            <w:r>
              <w:rPr>
                <w:rFonts w:ascii="仿宋_GB2312" w:hAnsi="仿宋" w:eastAsia="仿宋_GB2312" w:cs="Times New Roman"/>
                <w:bCs/>
                <w:color w:val="000000" w:themeColor="text1"/>
                <w:kern w:val="0"/>
                <w:sz w:val="28"/>
                <w:szCs w:val="28"/>
              </w:rPr>
              <w:t>事故风险可能影响周边其他单位、人员的，生产经营单位应当将有关事故风险的性质、影响范围和应急防范措施告知周边的其他单位和人员。</w:t>
            </w:r>
          </w:p>
          <w:p>
            <w:pPr>
              <w:spacing w:line="360" w:lineRule="exact"/>
              <w:jc w:val="left"/>
              <w:rPr>
                <w:rFonts w:eastAsia="仿宋_GB2312" w:cs="Times New Roman"/>
                <w:kern w:val="0"/>
                <w:sz w:val="28"/>
                <w:szCs w:val="28"/>
              </w:rPr>
            </w:pPr>
            <w:r>
              <w:rPr>
                <w:rFonts w:hint="eastAsia" w:ascii="仿宋_GB2312" w:eastAsia="仿宋_GB2312"/>
                <w:sz w:val="28"/>
                <w:szCs w:val="28"/>
              </w:rPr>
              <w:t>【处罚依据】</w:t>
            </w:r>
            <w:r>
              <w:rPr>
                <w:rFonts w:hint="eastAsia" w:ascii="仿宋_GB2312" w:hAnsi="仿宋" w:eastAsia="仿宋_GB2312" w:cs="Times New Roman"/>
                <w:bCs/>
                <w:color w:val="000000" w:themeColor="text1"/>
                <w:kern w:val="0"/>
                <w:sz w:val="28"/>
                <w:szCs w:val="28"/>
              </w:rPr>
              <w:t>《生产安全事故应急预案管理办法》（</w:t>
            </w:r>
            <w:r>
              <w:rPr>
                <w:rFonts w:hint="eastAsia" w:ascii="仿宋_GB2312" w:hAnsi="仿宋" w:eastAsia="仿宋_GB2312" w:cs="Times New Roman"/>
                <w:bCs/>
                <w:color w:val="000000" w:themeColor="text1"/>
                <w:kern w:val="0"/>
                <w:sz w:val="28"/>
                <w:szCs w:val="28"/>
                <w:shd w:val="clear" w:color="auto" w:fill="FFFFFF"/>
              </w:rPr>
              <w:t>应急管理部令第</w:t>
            </w:r>
            <w:r>
              <w:rPr>
                <w:rFonts w:hint="eastAsia" w:ascii="仿宋_GB2312" w:eastAsia="仿宋_GB2312" w:cs="Times New Roman"/>
                <w:bCs/>
                <w:color w:val="000000" w:themeColor="text1"/>
                <w:kern w:val="0"/>
                <w:sz w:val="28"/>
                <w:szCs w:val="28"/>
                <w:shd w:val="clear" w:color="auto" w:fill="FFFFFF"/>
              </w:rPr>
              <w:t>2</w:t>
            </w:r>
            <w:r>
              <w:rPr>
                <w:rFonts w:hint="eastAsia" w:ascii="仿宋_GB2312" w:hAnsi="仿宋" w:eastAsia="仿宋_GB2312" w:cs="Times New Roman"/>
                <w:bCs/>
                <w:color w:val="000000" w:themeColor="text1"/>
                <w:kern w:val="0"/>
                <w:sz w:val="28"/>
                <w:szCs w:val="28"/>
                <w:shd w:val="clear" w:color="auto" w:fill="FFFFFF"/>
              </w:rPr>
              <w:t>号）</w:t>
            </w:r>
            <w:r>
              <w:rPr>
                <w:rFonts w:eastAsia="仿宋_GB2312" w:cs="Times New Roman"/>
                <w:kern w:val="0"/>
                <w:sz w:val="28"/>
                <w:szCs w:val="28"/>
              </w:rPr>
              <w:t>第四十五条</w:t>
            </w:r>
            <w:r>
              <w:rPr>
                <w:rFonts w:hint="eastAsia" w:eastAsia="仿宋_GB2312" w:cs="Times New Roman"/>
                <w:kern w:val="0"/>
                <w:sz w:val="28"/>
                <w:szCs w:val="28"/>
              </w:rPr>
              <w:t>第三项：</w:t>
            </w:r>
            <w:r>
              <w:rPr>
                <w:rFonts w:eastAsia="仿宋_GB2312" w:cs="Times New Roman"/>
                <w:kern w:val="0"/>
                <w:sz w:val="28"/>
                <w:szCs w:val="28"/>
              </w:rPr>
              <w:t>生产经营单位有下列情形之一的，由县级以上人民政府应急管理部门责令限期改正，可以处1万元以上3万元以下的罚款：</w:t>
            </w:r>
          </w:p>
          <w:p>
            <w:pPr>
              <w:spacing w:line="360" w:lineRule="exact"/>
              <w:ind w:firstLine="560" w:firstLineChars="200"/>
              <w:jc w:val="left"/>
              <w:rPr>
                <w:rFonts w:ascii="仿宋_GB2312" w:eastAsia="仿宋_GB2312" w:cs="Times New Roman"/>
                <w:b/>
                <w:bCs/>
                <w:color w:val="000000" w:themeColor="text1"/>
                <w:kern w:val="0"/>
                <w:sz w:val="28"/>
                <w:szCs w:val="28"/>
                <w:shd w:val="clear" w:color="auto" w:fill="FFFFFF"/>
              </w:rPr>
            </w:pPr>
            <w:r>
              <w:rPr>
                <w:rFonts w:eastAsia="仿宋_GB2312" w:cs="Times New Roman"/>
                <w:kern w:val="0"/>
                <w:sz w:val="28"/>
                <w:szCs w:val="28"/>
              </w:rPr>
              <w:t>（三）事故风险可能影响周边单位、人员的，未将事故风险的性质、影响范围和应急防范措施告知周边单位和人员的；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19</w:t>
            </w:r>
          </w:p>
        </w:tc>
        <w:tc>
          <w:tcPr>
            <w:tcW w:w="2126" w:type="dxa"/>
            <w:vAlign w:val="center"/>
          </w:tcPr>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工业企业未建立安全风险辨识管控制度。</w:t>
            </w:r>
          </w:p>
        </w:tc>
        <w:tc>
          <w:tcPr>
            <w:tcW w:w="3686" w:type="dxa"/>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2.已按时通过全省统一的安全风险网上报告系统，如实报告较大以上安全风险；</w:t>
            </w:r>
          </w:p>
          <w:p>
            <w:pPr>
              <w:spacing w:line="360" w:lineRule="exact"/>
              <w:jc w:val="left"/>
              <w:rPr>
                <w:rFonts w:ascii="仿宋_GB2312" w:eastAsia="仿宋_GB2312" w:cs="Times New Roman"/>
                <w:kern w:val="0"/>
                <w:sz w:val="28"/>
                <w:szCs w:val="28"/>
                <w:highlight w:val="yellow"/>
              </w:rPr>
            </w:pPr>
            <w:r>
              <w:rPr>
                <w:rFonts w:hint="eastAsia" w:ascii="仿宋_GB2312" w:eastAsia="仿宋_GB2312" w:cs="Times New Roman"/>
                <w:kern w:val="0"/>
                <w:sz w:val="28"/>
                <w:szCs w:val="28"/>
              </w:rPr>
              <w:t>3.有证据证明已开展安全风险辨识管控工作。</w:t>
            </w:r>
          </w:p>
        </w:tc>
        <w:tc>
          <w:tcPr>
            <w:tcW w:w="7371" w:type="dxa"/>
            <w:vAlign w:val="center"/>
          </w:tcPr>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rPr>
              <w:t>140</w:t>
            </w:r>
            <w:r>
              <w:rPr>
                <w:rFonts w:hint="eastAsia" w:ascii="仿宋_GB2312" w:hAnsi="仿宋" w:eastAsia="仿宋_GB2312" w:cs="Times New Roman"/>
                <w:color w:val="000000" w:themeColor="text1"/>
                <w:kern w:val="0"/>
                <w:sz w:val="28"/>
                <w:szCs w:val="28"/>
                <w:shd w:val="clear" w:color="auto" w:fill="FFFFFF"/>
              </w:rPr>
              <w:t>号）第七条第一款：企业应当制定安全风险辨识管控制度，确定符合本单位安全生产实际的辨识方法和程序，明确分级管控职责分工及其责任制考核奖惩办法。</w:t>
            </w:r>
          </w:p>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rPr>
              <w:t>140</w:t>
            </w:r>
            <w:r>
              <w:rPr>
                <w:rFonts w:hint="eastAsia" w:ascii="仿宋_GB2312" w:hAnsi="仿宋" w:eastAsia="仿宋_GB2312" w:cs="Times New Roman"/>
                <w:color w:val="000000" w:themeColor="text1"/>
                <w:kern w:val="0"/>
                <w:sz w:val="28"/>
                <w:szCs w:val="28"/>
                <w:shd w:val="clear" w:color="auto" w:fill="FFFFFF"/>
              </w:rPr>
              <w:t>号）第三十四条第一项：企业违反本规定有下列情形之一的，由负有安全生产监督管理职责的部门责令限期改正，可以处五万元以下的罚款：</w:t>
            </w:r>
          </w:p>
          <w:p>
            <w:pPr>
              <w:spacing w:line="360" w:lineRule="exact"/>
              <w:ind w:firstLine="560" w:firstLineChars="200"/>
              <w:jc w:val="left"/>
              <w:rPr>
                <w:rFonts w:ascii="仿宋_GB2312" w:eastAsia="仿宋_GB2312" w:cs="Times New Roman"/>
                <w:b/>
                <w:bCs/>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（一）未建立安全风险辨识管控制度的；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20</w:t>
            </w:r>
          </w:p>
        </w:tc>
        <w:tc>
          <w:tcPr>
            <w:tcW w:w="2126" w:type="dxa"/>
            <w:vAlign w:val="center"/>
          </w:tcPr>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工业企业未建立安全风险管控清单。</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2.已按时通过全省统一的安全风险网上报告系统，如实报告较大以上安全风险；</w:t>
            </w:r>
          </w:p>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eastAsia="仿宋_GB2312" w:cs="Times New Roman"/>
                <w:kern w:val="0"/>
                <w:sz w:val="28"/>
                <w:szCs w:val="28"/>
              </w:rPr>
              <w:t>3.</w:t>
            </w:r>
            <w:r>
              <w:rPr>
                <w:rFonts w:hint="eastAsia" w:ascii="仿宋_GB2312" w:hAnsi="仿宋" w:eastAsia="仿宋_GB2312" w:cs="Times New Roman"/>
                <w:color w:val="000000" w:themeColor="text1"/>
                <w:kern w:val="0"/>
                <w:sz w:val="28"/>
                <w:szCs w:val="28"/>
              </w:rPr>
              <w:t>有证据证明已开展安全风险管控工作。</w:t>
            </w:r>
          </w:p>
        </w:tc>
        <w:tc>
          <w:tcPr>
            <w:tcW w:w="7371" w:type="dxa"/>
            <w:vAlign w:val="center"/>
          </w:tcPr>
          <w:p>
            <w:pPr>
              <w:spacing w:line="360" w:lineRule="exact"/>
              <w:jc w:val="left"/>
              <w:rPr>
                <w:rFonts w:ascii="仿宋_GB2312" w:eastAsia="仿宋_GB2312" w:cs="Times New Roman"/>
                <w:color w:val="000000" w:themeColor="text1"/>
                <w:kern w:val="0"/>
                <w:sz w:val="28"/>
                <w:szCs w:val="28"/>
                <w:shd w:val="clear" w:color="auto" w:fill="FFFFFF"/>
              </w:rPr>
            </w:pPr>
            <w:bookmarkStart w:id="0" w:name="No115_Z5T34K1X5"/>
            <w:bookmarkEnd w:id="0"/>
            <w:bookmarkStart w:id="1" w:name="No114_Z5T34K1X4"/>
            <w:bookmarkEnd w:id="1"/>
            <w:bookmarkStart w:id="2" w:name="No113_Z5T34K1X3"/>
            <w:bookmarkEnd w:id="2"/>
            <w:bookmarkStart w:id="3" w:name="No112_Z5T34K1X2"/>
            <w:bookmarkEnd w:id="3"/>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rPr>
              <w:t>140</w:t>
            </w:r>
            <w:r>
              <w:rPr>
                <w:rFonts w:hint="eastAsia" w:ascii="仿宋_GB2312" w:hAnsi="仿宋" w:eastAsia="仿宋_GB2312" w:cs="Times New Roman"/>
                <w:color w:val="000000" w:themeColor="text1"/>
                <w:kern w:val="0"/>
                <w:sz w:val="28"/>
                <w:szCs w:val="28"/>
                <w:shd w:val="clear" w:color="auto" w:fill="FFFFFF"/>
              </w:rPr>
              <w:t>号）第十二条：企业应当建立安全风险管控清单并持续更新。安全风险管控清单应当列明安全风险名称、所处位置（场所、部位、环节）、可能导致的事故类型及其后果、主要管控措施、管控责任部门和责任人。</w:t>
            </w:r>
          </w:p>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rPr>
              <w:t>140</w:t>
            </w:r>
            <w:r>
              <w:rPr>
                <w:rFonts w:hint="eastAsia" w:ascii="仿宋_GB2312" w:hAnsi="仿宋" w:eastAsia="仿宋_GB2312" w:cs="Times New Roman"/>
                <w:color w:val="000000" w:themeColor="text1"/>
                <w:kern w:val="0"/>
                <w:sz w:val="28"/>
                <w:szCs w:val="28"/>
                <w:shd w:val="clear" w:color="auto" w:fill="FFFFFF"/>
              </w:rPr>
              <w:t>号）第三十四条第二项：企业违反本规定有下列情形之一的，由负有安全生产监督管理职责的部门责令限期改正，可以处五万元以下的罚款：</w:t>
            </w:r>
          </w:p>
          <w:p>
            <w:pPr>
              <w:spacing w:line="360" w:lineRule="exact"/>
              <w:ind w:firstLine="560" w:firstLineChars="200"/>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（二）未建立安全风险管控清单的；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r>
              <w:rPr>
                <w:rFonts w:ascii="仿宋_GB2312" w:eastAsia="仿宋_GB2312" w:cs="Times New Roman"/>
                <w:color w:val="000000" w:themeColor="text1"/>
                <w:kern w:val="0"/>
                <w:sz w:val="28"/>
                <w:szCs w:val="28"/>
              </w:rPr>
              <w:t>1</w:t>
            </w:r>
          </w:p>
        </w:tc>
        <w:tc>
          <w:tcPr>
            <w:tcW w:w="2126" w:type="dxa"/>
            <w:vAlign w:val="center"/>
          </w:tcPr>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工业企业未将安全风险管控纳入年度安全生产教育培训计划。</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jc w:val="left"/>
              <w:rPr>
                <w:rFonts w:ascii="仿宋_GB2312" w:hAnsi="仿宋" w:eastAsia="仿宋_GB2312" w:cs="Times New Roman"/>
                <w:color w:val="000000" w:themeColor="text1"/>
                <w:kern w:val="0"/>
                <w:sz w:val="28"/>
                <w:szCs w:val="28"/>
              </w:rPr>
            </w:pPr>
            <w:r>
              <w:rPr>
                <w:rFonts w:hint="eastAsia" w:ascii="仿宋_GB2312" w:eastAsia="仿宋_GB2312" w:cs="Times New Roman"/>
                <w:kern w:val="0"/>
                <w:sz w:val="28"/>
                <w:szCs w:val="28"/>
              </w:rPr>
              <w:t>2.未将安全风险管控纳入年度安全生产教育培训计划，但</w:t>
            </w:r>
            <w:r>
              <w:rPr>
                <w:rFonts w:hint="eastAsia" w:ascii="仿宋_GB2312" w:hAnsi="仿宋" w:eastAsia="仿宋_GB2312" w:cs="Times New Roman"/>
                <w:color w:val="000000" w:themeColor="text1"/>
                <w:kern w:val="0"/>
                <w:sz w:val="28"/>
                <w:szCs w:val="28"/>
              </w:rPr>
              <w:t>有证据证明</w:t>
            </w:r>
            <w:r>
              <w:rPr>
                <w:rFonts w:hint="eastAsia" w:ascii="仿宋_GB2312" w:eastAsia="仿宋_GB2312" w:cs="Times New Roman"/>
                <w:kern w:val="0"/>
                <w:sz w:val="28"/>
                <w:szCs w:val="28"/>
              </w:rPr>
              <w:t>已开展了安全风险管控的教育培训。</w:t>
            </w:r>
          </w:p>
        </w:tc>
        <w:tc>
          <w:tcPr>
            <w:tcW w:w="7371" w:type="dxa"/>
            <w:vAlign w:val="center"/>
          </w:tcPr>
          <w:p>
            <w:pPr>
              <w:spacing w:line="360" w:lineRule="exact"/>
              <w:jc w:val="left"/>
              <w:rPr>
                <w:rFonts w:ascii="仿宋_GB2312" w:hAnsi="仿宋" w:eastAsia="仿宋_GB2312" w:cs="Times New Roman"/>
                <w:color w:val="000000" w:themeColor="text1"/>
                <w:kern w:val="0"/>
                <w:sz w:val="28"/>
                <w:szCs w:val="28"/>
                <w:shd w:val="clear" w:color="auto" w:fill="FFFFFF"/>
              </w:rPr>
            </w:pPr>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rPr>
              <w:t>140</w:t>
            </w:r>
            <w:r>
              <w:rPr>
                <w:rFonts w:hint="eastAsia" w:ascii="仿宋_GB2312" w:hAnsi="仿宋" w:eastAsia="仿宋_GB2312" w:cs="Times New Roman"/>
                <w:color w:val="000000" w:themeColor="text1"/>
                <w:kern w:val="0"/>
                <w:sz w:val="28"/>
                <w:szCs w:val="28"/>
                <w:shd w:val="clear" w:color="auto" w:fill="FFFFFF"/>
              </w:rPr>
              <w:t>号）第十七条：企业应当将安全风险辨识管控纳入年度安全生产教育培训计划并组织实施，定期开展安全风险辨识管控知识教育和技能培训，提高全员安全风险辨识管控意识和管控能力，保证从业人员了解本岗位安全风险基本情况，熟悉安全风险管控措施，掌握事故应急处置要点。</w:t>
            </w:r>
          </w:p>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rPr>
              <w:t>140</w:t>
            </w:r>
            <w:r>
              <w:rPr>
                <w:rFonts w:hint="eastAsia" w:ascii="仿宋_GB2312" w:hAnsi="仿宋" w:eastAsia="仿宋_GB2312" w:cs="Times New Roman"/>
                <w:color w:val="000000" w:themeColor="text1"/>
                <w:kern w:val="0"/>
                <w:sz w:val="28"/>
                <w:szCs w:val="28"/>
                <w:shd w:val="clear" w:color="auto" w:fill="FFFFFF"/>
              </w:rPr>
              <w:t>号）第三十四条第四项：企业违反本规定有下列情形之一的，由负有安全生产监督管理职责的部门责令限期改正，可以处五万元以下的罚款：</w:t>
            </w:r>
          </w:p>
          <w:p>
            <w:pPr>
              <w:spacing w:line="360" w:lineRule="exact"/>
              <w:ind w:firstLine="560" w:firstLineChars="200"/>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（四）未将安全风险管控纳入年度安全生产教育培训计划或者未组织实施的；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r>
              <w:rPr>
                <w:rFonts w:ascii="仿宋_GB2312" w:eastAsia="仿宋_GB2312" w:cs="Times New Roman"/>
                <w:color w:val="000000" w:themeColor="text1"/>
                <w:kern w:val="0"/>
                <w:sz w:val="28"/>
                <w:szCs w:val="28"/>
              </w:rPr>
              <w:t>2</w:t>
            </w:r>
          </w:p>
        </w:tc>
        <w:tc>
          <w:tcPr>
            <w:tcW w:w="2126" w:type="dxa"/>
            <w:vAlign w:val="center"/>
          </w:tcPr>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rPr>
              <w:t>工业企业</w:t>
            </w:r>
            <w:r>
              <w:rPr>
                <w:rFonts w:hint="eastAsia" w:ascii="仿宋_GB2312" w:hAnsi="仿宋" w:eastAsia="仿宋_GB2312" w:cs="Times New Roman"/>
                <w:color w:val="000000" w:themeColor="text1"/>
                <w:kern w:val="0"/>
                <w:sz w:val="28"/>
                <w:szCs w:val="28"/>
                <w:shd w:val="clear" w:color="auto" w:fill="FFFFFF"/>
              </w:rPr>
              <w:t>未建立安全风险档案。</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2.已按时通过全省统一的安全风险网上报告系统，如实报告较大以上安全风险；</w:t>
            </w:r>
          </w:p>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eastAsia="仿宋_GB2312" w:cs="Times New Roman"/>
                <w:kern w:val="0"/>
                <w:sz w:val="28"/>
                <w:szCs w:val="28"/>
              </w:rPr>
              <w:t>3.</w:t>
            </w:r>
            <w:r>
              <w:rPr>
                <w:rFonts w:hint="eastAsia" w:ascii="仿宋_GB2312" w:hAnsi="仿宋" w:eastAsia="仿宋_GB2312" w:cs="Times New Roman"/>
                <w:color w:val="000000" w:themeColor="text1"/>
                <w:kern w:val="0"/>
                <w:sz w:val="28"/>
                <w:szCs w:val="28"/>
              </w:rPr>
              <w:t>有证据证明</w:t>
            </w:r>
            <w:r>
              <w:rPr>
                <w:rFonts w:hint="eastAsia" w:ascii="仿宋_GB2312" w:eastAsia="仿宋_GB2312" w:cs="Times New Roman"/>
                <w:kern w:val="0"/>
                <w:sz w:val="28"/>
                <w:szCs w:val="28"/>
              </w:rPr>
              <w:t>已开展安全风险辨识管控工作。</w:t>
            </w:r>
          </w:p>
        </w:tc>
        <w:tc>
          <w:tcPr>
            <w:tcW w:w="7371" w:type="dxa"/>
            <w:vAlign w:val="center"/>
          </w:tcPr>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bCs/>
                <w:color w:val="000000" w:themeColor="text1"/>
                <w:kern w:val="0"/>
                <w:sz w:val="28"/>
                <w:szCs w:val="28"/>
              </w:rPr>
              <w:t>【法律规定】</w:t>
            </w:r>
            <w:r>
              <w:rPr>
                <w:rFonts w:hint="eastAsia" w:ascii="仿宋_GB2312" w:hAnsi="仿宋" w:eastAsia="仿宋_GB2312" w:cs="Times New Roman"/>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rPr>
              <w:t>140</w:t>
            </w:r>
            <w:r>
              <w:rPr>
                <w:rFonts w:hint="eastAsia" w:ascii="仿宋_GB2312" w:hAnsi="仿宋" w:eastAsia="仿宋_GB2312" w:cs="Times New Roman"/>
                <w:color w:val="000000" w:themeColor="text1"/>
                <w:kern w:val="0"/>
                <w:sz w:val="28"/>
                <w:szCs w:val="28"/>
                <w:shd w:val="clear" w:color="auto" w:fill="FFFFFF"/>
              </w:rPr>
              <w:t>号）第十八条：企业应当建立安全风险档案。安全风险档案包括安全风险管理制度、管控清单、分布图、变更情况、报告确认材料等内容。其中，较大以上安全风险资料应当单独立卷，内容包括安全风险名称、等级、所处位置、管控措施和变更情况等。</w:t>
            </w:r>
          </w:p>
          <w:p>
            <w:pPr>
              <w:spacing w:line="360" w:lineRule="exact"/>
              <w:jc w:val="left"/>
              <w:rPr>
                <w:rFonts w:ascii="仿宋_GB2312" w:eastAsia="仿宋_GB2312" w:cs="Times New Roman"/>
                <w:color w:val="000000" w:themeColor="text1"/>
                <w:kern w:val="0"/>
                <w:sz w:val="28"/>
                <w:szCs w:val="28"/>
                <w:shd w:val="clear" w:color="auto" w:fill="FFFFFF"/>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rPr>
              <w:t>140</w:t>
            </w:r>
            <w:r>
              <w:rPr>
                <w:rFonts w:hint="eastAsia" w:ascii="仿宋_GB2312" w:hAnsi="仿宋" w:eastAsia="仿宋_GB2312" w:cs="Times New Roman"/>
                <w:color w:val="000000" w:themeColor="text1"/>
                <w:kern w:val="0"/>
                <w:sz w:val="28"/>
                <w:szCs w:val="28"/>
                <w:shd w:val="clear" w:color="auto" w:fill="FFFFFF"/>
              </w:rPr>
              <w:t>号）第三十四条第五项：企业违反本规定有下列情形之一的，由负有安全生产监督管理职责的部门责令限期改正，可以处五万元以下的罚款：</w:t>
            </w:r>
          </w:p>
          <w:p>
            <w:pPr>
              <w:spacing w:line="360" w:lineRule="exact"/>
              <w:ind w:firstLine="560" w:firstLineChars="200"/>
              <w:jc w:val="left"/>
              <w:rPr>
                <w:rFonts w:ascii="仿宋_GB2312" w:eastAsia="仿宋_GB2312" w:cs="Times New Roman"/>
                <w:b/>
                <w:bCs/>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（五）未建立安全风险档案的。</w:t>
            </w:r>
          </w:p>
        </w:tc>
      </w:tr>
    </w:tbl>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sectPr>
          <w:pgSz w:w="16838" w:h="11906" w:orient="landscape"/>
          <w:pgMar w:top="1797" w:right="1440" w:bottom="1797" w:left="1440" w:header="851" w:footer="992" w:gutter="0"/>
          <w:cols w:space="425" w:num="1"/>
          <w:docGrid w:type="linesAndChars" w:linePitch="312" w:charSpace="0"/>
        </w:sect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pStyle w:val="7"/>
        <w:shd w:val="clear" w:color="auto" w:fill="FFFFFF"/>
        <w:spacing w:before="0" w:beforeAutospacing="0" w:after="0" w:afterAutospacing="0" w:line="432" w:lineRule="atLeast"/>
        <w:jc w:val="both"/>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NWQxNmQ5ZmJmZTE4ZDZhYTY2NmRlNTAyYmFjMzMifQ=="/>
  </w:docVars>
  <w:rsids>
    <w:rsidRoot w:val="009E388B"/>
    <w:rsid w:val="0000222E"/>
    <w:rsid w:val="0000390A"/>
    <w:rsid w:val="0001099C"/>
    <w:rsid w:val="00014E8E"/>
    <w:rsid w:val="00030413"/>
    <w:rsid w:val="00035ADD"/>
    <w:rsid w:val="00044B51"/>
    <w:rsid w:val="00045209"/>
    <w:rsid w:val="000565A3"/>
    <w:rsid w:val="000576A9"/>
    <w:rsid w:val="00077887"/>
    <w:rsid w:val="000952A1"/>
    <w:rsid w:val="00095389"/>
    <w:rsid w:val="000A3963"/>
    <w:rsid w:val="000A5611"/>
    <w:rsid w:val="000C07AD"/>
    <w:rsid w:val="000D336C"/>
    <w:rsid w:val="000D3AFD"/>
    <w:rsid w:val="000E1697"/>
    <w:rsid w:val="000E60E9"/>
    <w:rsid w:val="000F60A4"/>
    <w:rsid w:val="0013553C"/>
    <w:rsid w:val="00150620"/>
    <w:rsid w:val="00160565"/>
    <w:rsid w:val="001951F5"/>
    <w:rsid w:val="001A6C33"/>
    <w:rsid w:val="001B6092"/>
    <w:rsid w:val="001E79D3"/>
    <w:rsid w:val="001F0AAB"/>
    <w:rsid w:val="00210FCF"/>
    <w:rsid w:val="00221B48"/>
    <w:rsid w:val="002364EC"/>
    <w:rsid w:val="0025180B"/>
    <w:rsid w:val="0025640B"/>
    <w:rsid w:val="00256B1E"/>
    <w:rsid w:val="00263238"/>
    <w:rsid w:val="002735E9"/>
    <w:rsid w:val="00274B94"/>
    <w:rsid w:val="00286DE8"/>
    <w:rsid w:val="00292F06"/>
    <w:rsid w:val="00296CDF"/>
    <w:rsid w:val="00297557"/>
    <w:rsid w:val="002A389D"/>
    <w:rsid w:val="002C12F4"/>
    <w:rsid w:val="002C34FC"/>
    <w:rsid w:val="003002A1"/>
    <w:rsid w:val="003054B9"/>
    <w:rsid w:val="003256B1"/>
    <w:rsid w:val="00351304"/>
    <w:rsid w:val="00354C93"/>
    <w:rsid w:val="00374DA5"/>
    <w:rsid w:val="003815BF"/>
    <w:rsid w:val="00381953"/>
    <w:rsid w:val="00384E3A"/>
    <w:rsid w:val="003870F1"/>
    <w:rsid w:val="00393CB8"/>
    <w:rsid w:val="003A58D6"/>
    <w:rsid w:val="003A6A22"/>
    <w:rsid w:val="003B45E4"/>
    <w:rsid w:val="003F3408"/>
    <w:rsid w:val="00405F99"/>
    <w:rsid w:val="00440D95"/>
    <w:rsid w:val="00443252"/>
    <w:rsid w:val="00451424"/>
    <w:rsid w:val="0045597D"/>
    <w:rsid w:val="004622E4"/>
    <w:rsid w:val="00494A36"/>
    <w:rsid w:val="00494FEC"/>
    <w:rsid w:val="004955F1"/>
    <w:rsid w:val="004A0654"/>
    <w:rsid w:val="004A2BCF"/>
    <w:rsid w:val="004B1A50"/>
    <w:rsid w:val="004B33F1"/>
    <w:rsid w:val="004B46FA"/>
    <w:rsid w:val="004C3E2E"/>
    <w:rsid w:val="004C5614"/>
    <w:rsid w:val="004C6BF3"/>
    <w:rsid w:val="004D042D"/>
    <w:rsid w:val="004F3B64"/>
    <w:rsid w:val="004F6B0C"/>
    <w:rsid w:val="005129FE"/>
    <w:rsid w:val="005132D5"/>
    <w:rsid w:val="005144F4"/>
    <w:rsid w:val="00515479"/>
    <w:rsid w:val="0052540C"/>
    <w:rsid w:val="0052557B"/>
    <w:rsid w:val="00552708"/>
    <w:rsid w:val="00560265"/>
    <w:rsid w:val="005666BE"/>
    <w:rsid w:val="00585EEF"/>
    <w:rsid w:val="005E0817"/>
    <w:rsid w:val="005E182C"/>
    <w:rsid w:val="005E7480"/>
    <w:rsid w:val="005F233E"/>
    <w:rsid w:val="006060C0"/>
    <w:rsid w:val="006210AF"/>
    <w:rsid w:val="00636579"/>
    <w:rsid w:val="00650886"/>
    <w:rsid w:val="006524B0"/>
    <w:rsid w:val="006657A2"/>
    <w:rsid w:val="00667647"/>
    <w:rsid w:val="00672907"/>
    <w:rsid w:val="0067601E"/>
    <w:rsid w:val="00684559"/>
    <w:rsid w:val="006B352E"/>
    <w:rsid w:val="006B593E"/>
    <w:rsid w:val="006C171D"/>
    <w:rsid w:val="006C4DFE"/>
    <w:rsid w:val="006C5243"/>
    <w:rsid w:val="006D31F5"/>
    <w:rsid w:val="006D58CE"/>
    <w:rsid w:val="006F1CCD"/>
    <w:rsid w:val="0070337B"/>
    <w:rsid w:val="0070457F"/>
    <w:rsid w:val="00731211"/>
    <w:rsid w:val="00741424"/>
    <w:rsid w:val="00743D3A"/>
    <w:rsid w:val="007452BB"/>
    <w:rsid w:val="00752CCE"/>
    <w:rsid w:val="00760A9F"/>
    <w:rsid w:val="00760D44"/>
    <w:rsid w:val="0078413A"/>
    <w:rsid w:val="007D49C0"/>
    <w:rsid w:val="007E550F"/>
    <w:rsid w:val="00800409"/>
    <w:rsid w:val="00800F0B"/>
    <w:rsid w:val="00816E46"/>
    <w:rsid w:val="00822DA3"/>
    <w:rsid w:val="00823F1A"/>
    <w:rsid w:val="0083035B"/>
    <w:rsid w:val="0085526E"/>
    <w:rsid w:val="00863EBB"/>
    <w:rsid w:val="00880946"/>
    <w:rsid w:val="00890799"/>
    <w:rsid w:val="00893426"/>
    <w:rsid w:val="008A502A"/>
    <w:rsid w:val="008B3203"/>
    <w:rsid w:val="008B41AC"/>
    <w:rsid w:val="008B6C9C"/>
    <w:rsid w:val="008F6CB4"/>
    <w:rsid w:val="009013A2"/>
    <w:rsid w:val="00930008"/>
    <w:rsid w:val="00946E0F"/>
    <w:rsid w:val="009565C0"/>
    <w:rsid w:val="00956838"/>
    <w:rsid w:val="009675F5"/>
    <w:rsid w:val="00992039"/>
    <w:rsid w:val="0099311C"/>
    <w:rsid w:val="009B288A"/>
    <w:rsid w:val="009C0D16"/>
    <w:rsid w:val="009D3E20"/>
    <w:rsid w:val="009E388B"/>
    <w:rsid w:val="009E5EB7"/>
    <w:rsid w:val="009F2426"/>
    <w:rsid w:val="009F5349"/>
    <w:rsid w:val="00A01C6E"/>
    <w:rsid w:val="00A2706B"/>
    <w:rsid w:val="00A43739"/>
    <w:rsid w:val="00A44BC0"/>
    <w:rsid w:val="00A4740E"/>
    <w:rsid w:val="00A510F0"/>
    <w:rsid w:val="00A85149"/>
    <w:rsid w:val="00AA14C2"/>
    <w:rsid w:val="00AB645A"/>
    <w:rsid w:val="00AC1026"/>
    <w:rsid w:val="00AC4C3A"/>
    <w:rsid w:val="00AC5FF6"/>
    <w:rsid w:val="00AC7BD5"/>
    <w:rsid w:val="00AD639B"/>
    <w:rsid w:val="00AE39B3"/>
    <w:rsid w:val="00AE6028"/>
    <w:rsid w:val="00AE75C9"/>
    <w:rsid w:val="00AF1494"/>
    <w:rsid w:val="00AF4768"/>
    <w:rsid w:val="00AF56E4"/>
    <w:rsid w:val="00B00E9D"/>
    <w:rsid w:val="00B139A5"/>
    <w:rsid w:val="00B17609"/>
    <w:rsid w:val="00B2570D"/>
    <w:rsid w:val="00B27C04"/>
    <w:rsid w:val="00B32ADA"/>
    <w:rsid w:val="00B44E2D"/>
    <w:rsid w:val="00B45C37"/>
    <w:rsid w:val="00B540E6"/>
    <w:rsid w:val="00B57371"/>
    <w:rsid w:val="00B669D1"/>
    <w:rsid w:val="00B75FB3"/>
    <w:rsid w:val="00B808C9"/>
    <w:rsid w:val="00B86E9E"/>
    <w:rsid w:val="00B93F5C"/>
    <w:rsid w:val="00BA4C00"/>
    <w:rsid w:val="00BB37F8"/>
    <w:rsid w:val="00BB41C0"/>
    <w:rsid w:val="00BC0FE8"/>
    <w:rsid w:val="00BC1720"/>
    <w:rsid w:val="00BC2595"/>
    <w:rsid w:val="00BE11E1"/>
    <w:rsid w:val="00BE3FA5"/>
    <w:rsid w:val="00C02731"/>
    <w:rsid w:val="00C03451"/>
    <w:rsid w:val="00C044A3"/>
    <w:rsid w:val="00C26EF4"/>
    <w:rsid w:val="00C41597"/>
    <w:rsid w:val="00C43CB8"/>
    <w:rsid w:val="00C546A9"/>
    <w:rsid w:val="00C606A1"/>
    <w:rsid w:val="00C70E61"/>
    <w:rsid w:val="00C801DE"/>
    <w:rsid w:val="00C806B2"/>
    <w:rsid w:val="00CC167C"/>
    <w:rsid w:val="00CC7267"/>
    <w:rsid w:val="00CD08EA"/>
    <w:rsid w:val="00CD0CD0"/>
    <w:rsid w:val="00CE1A6A"/>
    <w:rsid w:val="00CF0861"/>
    <w:rsid w:val="00CF6ECE"/>
    <w:rsid w:val="00CF71A4"/>
    <w:rsid w:val="00D142CD"/>
    <w:rsid w:val="00D200CD"/>
    <w:rsid w:val="00D21E8E"/>
    <w:rsid w:val="00D22B20"/>
    <w:rsid w:val="00D25682"/>
    <w:rsid w:val="00D27F83"/>
    <w:rsid w:val="00D3077F"/>
    <w:rsid w:val="00D33D8C"/>
    <w:rsid w:val="00D3681C"/>
    <w:rsid w:val="00D4022A"/>
    <w:rsid w:val="00D76C2E"/>
    <w:rsid w:val="00D9262B"/>
    <w:rsid w:val="00D942FB"/>
    <w:rsid w:val="00DC499D"/>
    <w:rsid w:val="00DE0117"/>
    <w:rsid w:val="00DF2011"/>
    <w:rsid w:val="00E0358E"/>
    <w:rsid w:val="00E23FB2"/>
    <w:rsid w:val="00E2578E"/>
    <w:rsid w:val="00E3644F"/>
    <w:rsid w:val="00E57805"/>
    <w:rsid w:val="00E615A1"/>
    <w:rsid w:val="00E82023"/>
    <w:rsid w:val="00E9281B"/>
    <w:rsid w:val="00E9287E"/>
    <w:rsid w:val="00EB02EF"/>
    <w:rsid w:val="00EC1387"/>
    <w:rsid w:val="00ED6B78"/>
    <w:rsid w:val="00EF3CC8"/>
    <w:rsid w:val="00F04475"/>
    <w:rsid w:val="00F159C6"/>
    <w:rsid w:val="00F16D6B"/>
    <w:rsid w:val="00F21EAD"/>
    <w:rsid w:val="00F44D25"/>
    <w:rsid w:val="00F47EA0"/>
    <w:rsid w:val="00F569F4"/>
    <w:rsid w:val="00F6319C"/>
    <w:rsid w:val="00F64440"/>
    <w:rsid w:val="00F72A89"/>
    <w:rsid w:val="00F73724"/>
    <w:rsid w:val="00F81A68"/>
    <w:rsid w:val="00F91F1A"/>
    <w:rsid w:val="00FB0CB8"/>
    <w:rsid w:val="00FC2170"/>
    <w:rsid w:val="00FC2EC8"/>
    <w:rsid w:val="00FD5009"/>
    <w:rsid w:val="04D95AAF"/>
    <w:rsid w:val="0DAA2EE7"/>
    <w:rsid w:val="1C027E51"/>
    <w:rsid w:val="237B3D02"/>
    <w:rsid w:val="24104413"/>
    <w:rsid w:val="38600339"/>
    <w:rsid w:val="44EB0F92"/>
    <w:rsid w:val="5132782A"/>
    <w:rsid w:val="722F33F7"/>
    <w:rsid w:val="7F070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1"/>
    <w:semiHidden/>
    <w:unhideWhenUsed/>
    <w:qFormat/>
    <w:uiPriority w:val="99"/>
    <w:pPr>
      <w:spacing w:after="120"/>
      <w:ind w:left="420" w:leftChars="200"/>
    </w:pPr>
  </w:style>
  <w:style w:type="paragraph" w:styleId="3">
    <w:name w:val="Body Text First Indent 2"/>
    <w:basedOn w:val="2"/>
    <w:link w:val="12"/>
    <w:semiHidden/>
    <w:unhideWhenUsed/>
    <w:qFormat/>
    <w:uiPriority w:val="99"/>
    <w:pPr>
      <w:ind w:firstLine="420" w:firstLineChars="200"/>
    </w:pPr>
  </w:style>
  <w:style w:type="paragraph" w:styleId="4">
    <w:name w:val="Date"/>
    <w:basedOn w:val="1"/>
    <w:next w:val="1"/>
    <w:link w:val="15"/>
    <w:semiHidden/>
    <w:unhideWhenUsed/>
    <w:qFormat/>
    <w:uiPriority w:val="99"/>
    <w:pPr>
      <w:ind w:left="100" w:leftChars="25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正文文本缩进 Char"/>
    <w:basedOn w:val="9"/>
    <w:link w:val="2"/>
    <w:semiHidden/>
    <w:qFormat/>
    <w:uiPriority w:val="99"/>
    <w:rPr>
      <w:rFonts w:ascii="Times New Roman" w:hAnsi="Times New Roman" w:eastAsia="宋体" w:cs="Times New Roman"/>
      <w:sz w:val="21"/>
      <w:szCs w:val="20"/>
    </w:rPr>
  </w:style>
  <w:style w:type="character" w:customStyle="1" w:styleId="12">
    <w:name w:val="正文首行缩进 2 Char"/>
    <w:basedOn w:val="11"/>
    <w:link w:val="3"/>
    <w:semiHidden/>
    <w:uiPriority w:val="99"/>
    <w:rPr>
      <w:rFonts w:ascii="Times New Roman" w:hAnsi="Times New Roman" w:eastAsia="宋体" w:cs="Times New Roman"/>
      <w:sz w:val="21"/>
      <w:szCs w:val="20"/>
    </w:rPr>
  </w:style>
  <w:style w:type="paragraph" w:styleId="13">
    <w:name w:val="List Paragraph"/>
    <w:basedOn w:val="1"/>
    <w:qFormat/>
    <w:uiPriority w:val="34"/>
    <w:pPr>
      <w:ind w:firstLine="420" w:firstLineChars="200"/>
    </w:pPr>
    <w:rPr>
      <w:rFonts w:cs="Times New Roman"/>
    </w:rPr>
  </w:style>
  <w:style w:type="paragraph" w:customStyle="1" w:styleId="14">
    <w:name w:val="列出段落1"/>
    <w:basedOn w:val="1"/>
    <w:qFormat/>
    <w:uiPriority w:val="99"/>
    <w:pPr>
      <w:ind w:firstLine="420" w:firstLineChars="200"/>
    </w:pPr>
    <w:rPr>
      <w:rFonts w:cs="Times New Roman"/>
    </w:rPr>
  </w:style>
  <w:style w:type="character" w:customStyle="1" w:styleId="15">
    <w:name w:val="日期 Char"/>
    <w:basedOn w:val="9"/>
    <w:link w:val="4"/>
    <w:semiHidden/>
    <w:qFormat/>
    <w:uiPriority w:val="99"/>
    <w:rPr>
      <w:rFonts w:ascii="Times New Roman" w:hAnsi="Times New Roman" w:eastAsia="宋体"/>
      <w:sz w:val="21"/>
      <w:szCs w:val="20"/>
    </w:rPr>
  </w:style>
  <w:style w:type="character" w:customStyle="1" w:styleId="16">
    <w:name w:val="页眉 Char"/>
    <w:basedOn w:val="9"/>
    <w:link w:val="6"/>
    <w:qFormat/>
    <w:uiPriority w:val="99"/>
    <w:rPr>
      <w:rFonts w:ascii="Times New Roman" w:hAnsi="Times New Roman" w:eastAsia="宋体"/>
      <w:sz w:val="18"/>
      <w:szCs w:val="18"/>
    </w:rPr>
  </w:style>
  <w:style w:type="character" w:customStyle="1" w:styleId="17">
    <w:name w:val="页脚 Char"/>
    <w:basedOn w:val="9"/>
    <w:link w:val="5"/>
    <w:uiPriority w:val="99"/>
    <w:rPr>
      <w:rFonts w:ascii="Times New Roman" w:hAnsi="Times New Roman" w:eastAsia="宋体"/>
      <w:sz w:val="18"/>
      <w:szCs w:val="18"/>
    </w:rPr>
  </w:style>
  <w:style w:type="table" w:customStyle="1" w:styleId="18">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faguicon_p"/>
    <w:basedOn w:val="1"/>
    <w:qFormat/>
    <w:uiPriority w:val="0"/>
    <w:pPr>
      <w:widowControl/>
      <w:ind w:firstLine="480"/>
      <w:jc w:val="left"/>
    </w:pPr>
    <w:rPr>
      <w:rFonts w:ascii="微软雅黑" w:hAnsi="微软雅黑" w:eastAsia="微软雅黑" w:cs="微软雅黑"/>
      <w:kern w:val="0"/>
      <w:sz w:val="24"/>
      <w:szCs w:val="24"/>
    </w:rPr>
  </w:style>
  <w:style w:type="character" w:customStyle="1" w:styleId="20">
    <w:name w:val="any"/>
    <w:basedOn w:val="9"/>
    <w:qFormat/>
    <w:uiPriority w:val="0"/>
  </w:style>
  <w:style w:type="character" w:customStyle="1" w:styleId="21">
    <w:name w:val="sect2title"/>
    <w:basedOn w:val="9"/>
    <w:qFormat/>
    <w:uiPriority w:val="0"/>
    <w:rPr>
      <w:rFonts w:ascii="微软雅黑" w:hAnsi="微软雅黑" w:eastAsia="微软雅黑" w:cs="微软雅黑"/>
      <w:b/>
      <w:bCs/>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DCB8-3522-4C11-8572-CFB615CC1D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1727</Words>
  <Characters>9848</Characters>
  <Lines>82</Lines>
  <Paragraphs>23</Paragraphs>
  <TotalTime>131</TotalTime>
  <ScaleCrop>false</ScaleCrop>
  <LinksUpToDate>false</LinksUpToDate>
  <CharactersWithSpaces>11552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2023-08-04T02:51:00Z</dcterms:created>
  <dc:creator>郝然</dc:creator>
  <cp:lastModifiedBy>Administrator</cp:lastModifiedBy>
  <cp:lastPrinted>2023-08-02T10:01:00Z</cp:lastPrinted>
  <dcterms:modified xsi:type="dcterms:W3CDTF">2023-10-20T07:47:30Z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9D4F7B0B39874118AEED8B413EFD8055_13</vt:lpwstr>
  </property>
</Properties>
</file>