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80" w:lineRule="exact"/>
        <w:jc w:val="center"/>
        <w:rPr>
          <w:rFonts w:ascii="方正小标宋_GBK" w:hAnsi="Times" w:eastAsia="方正小标宋_GBK" w:cs="Times"/>
          <w:sz w:val="44"/>
          <w:szCs w:val="44"/>
        </w:rPr>
      </w:pPr>
    </w:p>
    <w:p>
      <w:pPr>
        <w:pStyle w:val="7"/>
        <w:shd w:val="clear" w:color="auto" w:fill="FFFFFF"/>
        <w:spacing w:before="0" w:beforeAutospacing="0" w:after="0" w:afterAutospacing="0" w:line="580" w:lineRule="exact"/>
        <w:jc w:val="center"/>
        <w:rPr>
          <w:rFonts w:ascii="方正小标宋_GBK" w:hAnsi="Times" w:eastAsia="方正小标宋_GBK" w:cs="Times"/>
          <w:sz w:val="44"/>
          <w:szCs w:val="44"/>
        </w:rPr>
      </w:pPr>
      <w:r>
        <w:rPr>
          <w:rFonts w:hint="eastAsia" w:ascii="方正小标宋_GBK" w:hAnsi="Times" w:eastAsia="方正小标宋_GBK" w:cs="Times"/>
          <w:sz w:val="44"/>
          <w:szCs w:val="44"/>
        </w:rPr>
        <w:t>南京市应急管理部门安全生产领域</w:t>
      </w:r>
    </w:p>
    <w:p>
      <w:pPr>
        <w:pStyle w:val="7"/>
        <w:shd w:val="clear" w:color="auto" w:fill="FFFFFF"/>
        <w:spacing w:before="0" w:beforeAutospacing="0" w:after="0" w:afterAutospacing="0" w:line="580" w:lineRule="exact"/>
        <w:jc w:val="center"/>
        <w:rPr>
          <w:rFonts w:ascii="方正小标宋_GBK" w:hAnsi="Times" w:eastAsia="方正小标宋_GBK" w:cs="Times"/>
          <w:sz w:val="44"/>
          <w:szCs w:val="44"/>
        </w:rPr>
      </w:pPr>
      <w:r>
        <w:rPr>
          <w:rFonts w:hint="eastAsia" w:ascii="方正小标宋_GBK" w:hAnsi="Times" w:eastAsia="方正小标宋_GBK" w:cs="Times"/>
          <w:sz w:val="44"/>
          <w:szCs w:val="44"/>
        </w:rPr>
        <w:t>轻微违法行为依法不予行政处罚清单</w:t>
      </w:r>
    </w:p>
    <w:p>
      <w:pPr>
        <w:pStyle w:val="7"/>
        <w:shd w:val="clear" w:color="auto" w:fill="FFFFFF"/>
        <w:spacing w:before="0" w:beforeAutospacing="0" w:after="0" w:afterAutospacing="0" w:line="580" w:lineRule="exact"/>
        <w:jc w:val="center"/>
        <w:rPr>
          <w:rFonts w:ascii="楷体_GB2312" w:hAnsi="Times" w:eastAsia="楷体_GB2312" w:cs="Times"/>
          <w:sz w:val="32"/>
          <w:szCs w:val="32"/>
        </w:rPr>
      </w:pPr>
      <w:r>
        <w:rPr>
          <w:rFonts w:hint="eastAsia" w:ascii="楷体_GB2312" w:hAnsi="Times" w:eastAsia="楷体_GB2312" w:cs="Times"/>
          <w:sz w:val="32"/>
          <w:szCs w:val="32"/>
        </w:rPr>
        <w:t>（征求意见稿）</w:t>
      </w:r>
    </w:p>
    <w:p>
      <w:pPr>
        <w:pStyle w:val="7"/>
        <w:shd w:val="clear" w:color="auto" w:fill="FFFFFF"/>
        <w:spacing w:before="0" w:beforeAutospacing="0" w:after="0" w:afterAutospacing="0" w:line="580" w:lineRule="exact"/>
        <w:jc w:val="center"/>
        <w:rPr>
          <w:rFonts w:ascii="方正小标宋_GBK" w:hAnsi="Times" w:eastAsia="方正小标宋_GBK" w:cs="Times"/>
          <w:sz w:val="44"/>
          <w:szCs w:val="44"/>
        </w:rPr>
      </w:pPr>
    </w:p>
    <w:p>
      <w:pPr>
        <w:pStyle w:val="7"/>
        <w:spacing w:before="0" w:beforeAutospacing="0" w:after="0" w:afterAutospacing="0" w:line="580" w:lineRule="exact"/>
        <w:ind w:firstLine="640"/>
      </w:pPr>
      <w:r>
        <w:rPr>
          <w:rFonts w:hint="eastAsia" w:ascii="仿宋_GB2312" w:hAnsi="Times" w:eastAsia="仿宋_GB2312" w:cs="Times"/>
          <w:sz w:val="32"/>
          <w:szCs w:val="32"/>
        </w:rPr>
        <w:t>为深入贯彻落实《南京市法治政府建设实施方案（2021—2025年）》《市政府关于印发南京市推动经济运行率先整体好转若干政策措施的通知》（宁政规字〔2023〕2号）有关要求，进一步优化法治营商环境，根据《中华人</w:t>
      </w:r>
      <w:r>
        <w:rPr>
          <w:rFonts w:hint="eastAsia" w:ascii="仿宋_GB2312" w:eastAsia="仿宋_GB2312" w:cs="仿宋_GB2312" w:hAnsiTheme="minorHAnsi"/>
          <w:sz w:val="32"/>
          <w:szCs w:val="32"/>
        </w:rPr>
        <w:t>民共和国行政处罚法》《中华人民共和国安全生产法》《江苏省安全生产行政处罚自由裁量适用细则（2021版）》等规定</w:t>
      </w:r>
      <w:r>
        <w:rPr>
          <w:rFonts w:hint="eastAsia" w:ascii="仿宋_GB2312" w:hAnsi="Times" w:eastAsia="仿宋_GB2312" w:cs="Times"/>
          <w:sz w:val="32"/>
          <w:szCs w:val="32"/>
        </w:rPr>
        <w:t xml:space="preserve">，制定《南京市应急管理部门安全生产领域轻微违法行为依法不予行政处罚清单》（以下简称《清单》）。 </w:t>
      </w:r>
    </w:p>
    <w:p>
      <w:pPr>
        <w:autoSpaceDE w:val="0"/>
        <w:autoSpaceDN w:val="0"/>
        <w:adjustRightInd w:val="0"/>
        <w:spacing w:line="580" w:lineRule="exact"/>
        <w:ind w:firstLine="660"/>
        <w:jc w:val="left"/>
        <w:rPr>
          <w:rFonts w:ascii="黑体" w:hAnsi="黑体" w:eastAsia="黑体" w:cs="Times"/>
          <w:sz w:val="32"/>
          <w:szCs w:val="32"/>
        </w:rPr>
      </w:pPr>
      <w:r>
        <w:rPr>
          <w:rFonts w:hint="eastAsia" w:ascii="黑体" w:hAnsi="黑体" w:eastAsia="黑体" w:cs="Times"/>
          <w:sz w:val="32"/>
          <w:szCs w:val="32"/>
        </w:rPr>
        <w:t xml:space="preserve">一、适用范围 </w:t>
      </w:r>
    </w:p>
    <w:p>
      <w:pPr>
        <w:autoSpaceDE w:val="0"/>
        <w:autoSpaceDN w:val="0"/>
        <w:adjustRightInd w:val="0"/>
        <w:spacing w:line="580" w:lineRule="exact"/>
        <w:ind w:firstLine="660"/>
        <w:jc w:val="left"/>
        <w:rPr>
          <w:rFonts w:ascii="仿宋_GB2312" w:hAnsi="Times" w:eastAsia="仿宋_GB2312" w:cs="Times"/>
          <w:sz w:val="32"/>
          <w:szCs w:val="32"/>
        </w:rPr>
      </w:pPr>
      <w:r>
        <w:rPr>
          <w:rFonts w:hint="eastAsia" w:ascii="仿宋_GB2312" w:hAnsi="Times" w:eastAsia="仿宋_GB2312" w:cs="Times"/>
          <w:sz w:val="32"/>
          <w:szCs w:val="32"/>
        </w:rPr>
        <w:t>《清单》适用于全市范围内，应急管理部门对法定监管职责范围内生产经营单位安全生产违法行为的处理。</w:t>
      </w:r>
    </w:p>
    <w:p>
      <w:pPr>
        <w:autoSpaceDE w:val="0"/>
        <w:autoSpaceDN w:val="0"/>
        <w:adjustRightInd w:val="0"/>
        <w:spacing w:line="580" w:lineRule="exact"/>
        <w:ind w:firstLine="660"/>
        <w:jc w:val="left"/>
        <w:rPr>
          <w:rFonts w:ascii="黑体" w:hAnsi="黑体" w:eastAsia="黑体" w:cs="Times"/>
          <w:sz w:val="32"/>
          <w:szCs w:val="32"/>
        </w:rPr>
      </w:pPr>
      <w:r>
        <w:rPr>
          <w:rFonts w:hint="eastAsia" w:ascii="黑体" w:hAnsi="黑体" w:eastAsia="黑体" w:cs="Times"/>
          <w:sz w:val="32"/>
          <w:szCs w:val="32"/>
        </w:rPr>
        <w:t>二、适用条件</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适用《清单》不予行政处罚的行政相对人，应当同时满足下列基本条件：</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（一）近一年内未发生生产安全亡人事故，且未发生有较大社会影响事故；</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（二）近一年内未被市、区应急管理部门实施行政处罚；</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（三）未被纳入安全生产严重失信企业名单。</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有下列情形之一的，不适用轻微违法行为不予行政处罚：</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（一）涉及重大生产安全事故隐患的；</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（二）经专业技术人员、安全专家或者具有相应资质的专业机构认定有可能造成严重后果的；</w:t>
      </w:r>
    </w:p>
    <w:p>
      <w:pPr>
        <w:pStyle w:val="7"/>
        <w:shd w:val="clear" w:color="auto" w:fill="FFFFFF"/>
        <w:spacing w:before="0" w:beforeAutospacing="0" w:after="0" w:afterAutospacing="0" w:line="580" w:lineRule="exact"/>
        <w:ind w:firstLine="516"/>
        <w:jc w:val="both"/>
        <w:rPr>
          <w:rFonts w:ascii="Times" w:hAnsi="Times" w:cs="Times"/>
          <w:sz w:val="32"/>
          <w:szCs w:val="32"/>
        </w:rPr>
      </w:pPr>
      <w:r>
        <w:rPr>
          <w:rFonts w:hint="eastAsia" w:ascii="仿宋_GB2312" w:hAnsi="Times" w:eastAsia="仿宋_GB2312" w:cs="Times"/>
          <w:sz w:val="32"/>
          <w:szCs w:val="32"/>
          <w:shd w:val="clear" w:color="auto" w:fill="FFFFFF"/>
        </w:rPr>
        <w:t>（三）有法定从重情节的。</w:t>
      </w:r>
    </w:p>
    <w:p>
      <w:pPr>
        <w:pStyle w:val="7"/>
        <w:shd w:val="clear" w:color="auto" w:fill="FFFFFF"/>
        <w:spacing w:before="0" w:beforeAutospacing="0" w:after="0" w:afterAutospacing="0" w:line="580" w:lineRule="exact"/>
        <w:ind w:firstLine="516"/>
        <w:jc w:val="both"/>
        <w:rPr>
          <w:rFonts w:ascii="黑体" w:hAnsi="黑体" w:eastAsia="黑体" w:cs="Times"/>
          <w:sz w:val="32"/>
          <w:szCs w:val="32"/>
          <w:shd w:val="clear" w:color="auto" w:fill="FFFFFF"/>
        </w:rPr>
      </w:pPr>
      <w:r>
        <w:rPr>
          <w:rFonts w:hint="eastAsia" w:ascii="黑体" w:hAnsi="黑体" w:eastAsia="黑体" w:cs="Times"/>
          <w:sz w:val="32"/>
          <w:szCs w:val="32"/>
          <w:shd w:val="clear" w:color="auto" w:fill="FFFFFF"/>
        </w:rPr>
        <w:t xml:space="preserve">三、相关用语含义 </w:t>
      </w:r>
    </w:p>
    <w:p>
      <w:pPr>
        <w:pStyle w:val="7"/>
        <w:shd w:val="clear" w:color="auto" w:fill="FFFFFF"/>
        <w:spacing w:before="0" w:beforeAutospacing="0" w:after="0" w:afterAutospacing="0" w:line="580" w:lineRule="exact"/>
        <w:ind w:firstLine="640" w:firstLineChars="200"/>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初次违法，是指当事人第一次实施安全生产违法行为。经询问当事人，并查询信用中国公示系统、国家企业信用信息公示系统以及应急管理执法办案系统，未发现当事人有安全生产违法行为的，或已完成相关行政处罚信息信用修复的，可以认定为初次违法。</w:t>
      </w:r>
    </w:p>
    <w:p>
      <w:pPr>
        <w:pStyle w:val="7"/>
        <w:shd w:val="clear" w:color="auto" w:fill="FFFFFF"/>
        <w:spacing w:before="0" w:beforeAutospacing="0" w:after="0" w:afterAutospacing="0" w:line="580" w:lineRule="exact"/>
        <w:ind w:firstLine="640" w:firstLineChars="200"/>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危害后果轻微，是指违法行为危害程度较轻，危害范围较小，未造成明显危害后果和社会影响，或已主动消除、减轻危害后果等情形。</w:t>
      </w:r>
    </w:p>
    <w:p>
      <w:pPr>
        <w:pStyle w:val="7"/>
        <w:shd w:val="clear" w:color="auto" w:fill="FFFFFF"/>
        <w:spacing w:before="0" w:beforeAutospacing="0" w:after="0" w:afterAutospacing="0" w:line="580" w:lineRule="exact"/>
        <w:ind w:firstLine="640" w:firstLineChars="200"/>
        <w:jc w:val="both"/>
        <w:rPr>
          <w:rFonts w:ascii="Times New Roman" w:hAnsi="Times New Roman" w:cs="Times New Roman"/>
          <w:smallCaps/>
          <w:sz w:val="32"/>
          <w:szCs w:val="32"/>
        </w:rPr>
      </w:pPr>
      <w:r>
        <w:rPr>
          <w:rFonts w:hint="eastAsia" w:ascii="仿宋_GB2312" w:hAnsi="Times New Roman" w:eastAsia="仿宋_GB2312" w:cs="Times New Roman"/>
          <w:smallCaps/>
          <w:sz w:val="32"/>
          <w:szCs w:val="32"/>
        </w:rPr>
        <w:t>及时改正，是指在应急管理部门发现违法行为线索之前主动完成改正的；或在应急管理部门发现违法行为线索之后，责令改正之前主动完成改正的；或在应急管理部门责令改正后按要求完成改正的。</w:t>
      </w:r>
    </w:p>
    <w:p>
      <w:pPr>
        <w:pStyle w:val="7"/>
        <w:shd w:val="clear" w:color="auto" w:fill="FFFFFF"/>
        <w:spacing w:before="0" w:beforeAutospacing="0" w:after="0" w:afterAutospacing="0" w:line="580" w:lineRule="exact"/>
        <w:ind w:firstLine="640" w:firstLineChars="200"/>
        <w:jc w:val="both"/>
        <w:rPr>
          <w:rFonts w:ascii="黑体" w:hAnsi="黑体" w:eastAsia="黑体" w:cs="Times New Roman"/>
          <w:smallCaps/>
          <w:sz w:val="32"/>
          <w:szCs w:val="32"/>
        </w:rPr>
      </w:pPr>
      <w:r>
        <w:rPr>
          <w:rFonts w:hint="eastAsia" w:ascii="黑体" w:hAnsi="黑体" w:eastAsia="黑体" w:cs="Times New Roman"/>
          <w:smallCaps/>
          <w:sz w:val="32"/>
          <w:szCs w:val="32"/>
        </w:rPr>
        <w:t>四、相关规定</w:t>
      </w:r>
    </w:p>
    <w:p>
      <w:pPr>
        <w:pStyle w:val="7"/>
        <w:shd w:val="clear" w:color="auto" w:fill="FFFFFF"/>
        <w:spacing w:before="0" w:beforeAutospacing="0" w:after="0" w:afterAutospacing="0" w:line="580" w:lineRule="exact"/>
        <w:ind w:firstLine="516"/>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（一）依据《清单》不予行政处罚的，行政执法人员应当做好记录，依法制发责令限期整改指令书或现场处理措施决定书，并督促整改，按期复查。</w:t>
      </w:r>
    </w:p>
    <w:p>
      <w:pPr>
        <w:pStyle w:val="7"/>
        <w:shd w:val="clear" w:color="auto" w:fill="FFFFFF"/>
        <w:spacing w:before="0" w:beforeAutospacing="0" w:after="0" w:afterAutospacing="0" w:line="580" w:lineRule="exact"/>
        <w:ind w:firstLine="516"/>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（二）《清单》所列轻微违法行为，在立案之前已查清事实，有证据证明符合不予行政处罚条件的，责令当事人改正并依法进行教育，可以不予立案。不予立案的，应当制作</w:t>
      </w:r>
      <w:r>
        <w:rPr>
          <w:rFonts w:hint="eastAsia" w:ascii="仿宋_GB2312" w:hAnsi="Times" w:eastAsia="仿宋_GB2312" w:cs="Times"/>
          <w:sz w:val="32"/>
          <w:szCs w:val="32"/>
          <w:highlight w:val="none"/>
          <w:shd w:val="clear" w:color="auto" w:fill="FFFFFF"/>
        </w:rPr>
        <w:t>《行政执法有关事项审批表》</w:t>
      </w:r>
      <w:r>
        <w:rPr>
          <w:rFonts w:hint="eastAsia" w:ascii="仿宋_GB2312" w:hAnsi="Times" w:eastAsia="仿宋_GB2312" w:cs="Times"/>
          <w:sz w:val="32"/>
          <w:szCs w:val="32"/>
          <w:shd w:val="clear" w:color="auto" w:fill="FFFFFF"/>
        </w:rPr>
        <w:t>，报应急管理部门负责人或应急管理综合行政执法队伍负责人批准。在立案之后查清事实，依据《清单》不予行政处罚的，行政执法人员应当依照相关程序要求办理，制发《不予行政处罚决定书》。</w:t>
      </w:r>
    </w:p>
    <w:p>
      <w:pPr>
        <w:pStyle w:val="7"/>
        <w:shd w:val="clear" w:color="auto" w:fill="FFFFFF"/>
        <w:spacing w:before="0" w:beforeAutospacing="0" w:after="0" w:afterAutospacing="0" w:line="580" w:lineRule="exact"/>
        <w:ind w:firstLine="516"/>
        <w:jc w:val="both"/>
        <w:rPr>
          <w:rFonts w:ascii="仿宋_GB2312" w:hAnsi="Times" w:eastAsia="仿宋_GB2312" w:cs="Times"/>
          <w:sz w:val="32"/>
          <w:szCs w:val="32"/>
          <w:shd w:val="clear" w:color="auto" w:fill="FFFFFF"/>
        </w:rPr>
      </w:pPr>
      <w:r>
        <w:rPr>
          <w:rFonts w:hint="eastAsia" w:ascii="仿宋_GB2312" w:hAnsi="Times" w:eastAsia="仿宋_GB2312" w:cs="Times"/>
          <w:sz w:val="32"/>
          <w:szCs w:val="32"/>
          <w:shd w:val="clear" w:color="auto" w:fill="FFFFFF"/>
        </w:rPr>
        <w:t>（三）《清单》未列明的轻微违法行为，符合《中华人民共和国行政处罚法》等法律、法规、规章规定的不予行政处罚条件的，应当经集体讨论决定，依法不予行政处罚。</w:t>
      </w:r>
    </w:p>
    <w:p>
      <w:pPr>
        <w:pStyle w:val="7"/>
        <w:spacing w:before="0" w:beforeAutospacing="0" w:after="0" w:afterAutospacing="0" w:line="580" w:lineRule="exact"/>
        <w:ind w:firstLine="640"/>
        <w:rPr>
          <w:rFonts w:ascii="仿宋_GB2312" w:hAnsi="Times" w:eastAsia="仿宋_GB2312" w:cs="Times"/>
          <w:sz w:val="32"/>
          <w:szCs w:val="32"/>
        </w:rPr>
      </w:pPr>
      <w:r>
        <w:rPr>
          <w:rFonts w:hint="eastAsia" w:ascii="仿宋_GB2312" w:hAnsi="Times" w:eastAsia="仿宋_GB2312" w:cs="Times"/>
          <w:sz w:val="32"/>
          <w:szCs w:val="32"/>
          <w:shd w:val="clear" w:color="auto" w:fill="FFFFFF"/>
        </w:rPr>
        <w:t>（四）对适用不予行政处罚的轻微违法行为，应急管理部门应当坚持处罚与教育相结合的原则，通过指导服务、批评教育、约谈警示、</w:t>
      </w:r>
      <w:r>
        <w:rPr>
          <w:rFonts w:hint="eastAsia" w:ascii="仿宋_GB2312" w:hAnsi="Times" w:eastAsia="仿宋_GB2312" w:cs="Times"/>
          <w:sz w:val="32"/>
          <w:szCs w:val="32"/>
        </w:rPr>
        <w:t>普法宣传</w:t>
      </w:r>
      <w:r>
        <w:rPr>
          <w:rFonts w:hint="eastAsia" w:ascii="仿宋_GB2312" w:hAnsi="Times" w:eastAsia="仿宋_GB2312" w:cs="Times"/>
          <w:sz w:val="32"/>
          <w:szCs w:val="32"/>
          <w:shd w:val="clear" w:color="auto" w:fill="FFFFFF"/>
        </w:rPr>
        <w:t>等措施，</w:t>
      </w:r>
      <w:r>
        <w:rPr>
          <w:rFonts w:hint="eastAsia" w:ascii="仿宋_GB2312" w:hAnsi="Times" w:eastAsia="仿宋_GB2312" w:cs="Times"/>
          <w:sz w:val="32"/>
          <w:szCs w:val="32"/>
        </w:rPr>
        <w:t>教育引导</w:t>
      </w:r>
      <w:r>
        <w:rPr>
          <w:rFonts w:hint="eastAsia" w:ascii="仿宋_GB2312" w:hAnsi="Times" w:eastAsia="仿宋_GB2312" w:cs="Times"/>
          <w:sz w:val="32"/>
          <w:szCs w:val="32"/>
          <w:shd w:val="clear" w:color="auto" w:fill="FFFFFF"/>
        </w:rPr>
        <w:t>生产经营单位依法合规开展生产经营活动。</w:t>
      </w:r>
      <w:r>
        <w:rPr>
          <w:rFonts w:hint="eastAsia" w:ascii="仿宋_GB2312" w:hAnsi="Times" w:eastAsia="仿宋_GB2312" w:cs="Times"/>
          <w:sz w:val="32"/>
          <w:szCs w:val="32"/>
        </w:rPr>
        <w:t xml:space="preserve">对当事人进行教育的过程应当制作相关记录并入卷归档。 </w:t>
      </w:r>
      <w:bookmarkStart w:id="4" w:name="_GoBack"/>
      <w:bookmarkEnd w:id="4"/>
    </w:p>
    <w:p>
      <w:pPr>
        <w:pStyle w:val="7"/>
        <w:spacing w:before="0" w:beforeAutospacing="0" w:after="0" w:afterAutospacing="0" w:line="580" w:lineRule="exact"/>
        <w:ind w:firstLine="640"/>
        <w:rPr>
          <w:rFonts w:ascii="仿宋_GB2312" w:hAnsi="Times" w:eastAsia="仿宋_GB2312" w:cs="Times"/>
          <w:sz w:val="32"/>
          <w:szCs w:val="32"/>
        </w:rPr>
      </w:pPr>
      <w:r>
        <w:rPr>
          <w:rFonts w:hint="eastAsia" w:ascii="仿宋_GB2312" w:hAnsi="Times" w:eastAsia="仿宋_GB2312" w:cs="Times"/>
          <w:sz w:val="32"/>
          <w:szCs w:val="32"/>
        </w:rPr>
        <w:t>（五）江北新区、各区应急管理部门可结合地方实际，制定本区域范围内安全生产领域轻微违法行为依法不予行政处罚清单。</w:t>
      </w:r>
    </w:p>
    <w:p>
      <w:pPr>
        <w:pStyle w:val="7"/>
        <w:spacing w:before="0" w:beforeAutospacing="0" w:after="0" w:afterAutospacing="0" w:line="580" w:lineRule="exact"/>
        <w:ind w:firstLine="640"/>
        <w:rPr>
          <w:rFonts w:ascii="仿宋_GB2312" w:hAnsi="Times" w:eastAsia="仿宋_GB2312" w:cs="Times"/>
          <w:sz w:val="32"/>
          <w:szCs w:val="32"/>
        </w:rPr>
      </w:pPr>
      <w:r>
        <w:rPr>
          <w:rFonts w:hint="eastAsia" w:ascii="仿宋_GB2312" w:hAnsi="Times" w:eastAsia="仿宋_GB2312" w:cs="Times"/>
          <w:sz w:val="32"/>
          <w:szCs w:val="32"/>
        </w:rPr>
        <w:t>（六）本《清单》将根据法律、法规和规章的变化及时进行修订。</w:t>
      </w:r>
    </w:p>
    <w:p>
      <w:pPr>
        <w:autoSpaceDE w:val="0"/>
        <w:autoSpaceDN w:val="0"/>
        <w:adjustRightInd w:val="0"/>
        <w:spacing w:line="580" w:lineRule="exact"/>
        <w:ind w:firstLine="640" w:firstLineChars="200"/>
        <w:jc w:val="left"/>
        <w:rPr>
          <w:rFonts w:ascii="仿宋_GB2312" w:hAnsi="Times" w:eastAsia="仿宋_GB2312" w:cs="Times"/>
          <w:sz w:val="32"/>
          <w:szCs w:val="32"/>
        </w:rPr>
      </w:pPr>
      <w:r>
        <w:rPr>
          <w:rFonts w:hint="eastAsia" w:ascii="仿宋_GB2312" w:hAnsi="Times" w:eastAsia="仿宋_GB2312" w:cs="Times"/>
          <w:sz w:val="32"/>
          <w:szCs w:val="32"/>
          <w:shd w:val="clear" w:color="auto" w:fill="FFFFFF"/>
        </w:rPr>
        <w:t>本《清单》</w:t>
      </w:r>
      <w:r>
        <w:rPr>
          <w:rFonts w:hint="eastAsia" w:ascii="仿宋_GB2312" w:hAnsi="Times" w:eastAsia="仿宋_GB2312" w:cs="Times"/>
          <w:sz w:val="32"/>
          <w:szCs w:val="32"/>
        </w:rPr>
        <w:t>自2023年X月X日起施行，有效期3年。</w:t>
      </w:r>
    </w:p>
    <w:p>
      <w:pPr>
        <w:autoSpaceDE w:val="0"/>
        <w:autoSpaceDN w:val="0"/>
        <w:adjustRightInd w:val="0"/>
        <w:spacing w:line="580" w:lineRule="exact"/>
        <w:jc w:val="left"/>
        <w:rPr>
          <w:rFonts w:ascii="仿宋_GB2312" w:hAnsi="Times" w:eastAsia="仿宋_GB2312" w:cs="Times"/>
          <w:sz w:val="32"/>
          <w:szCs w:val="32"/>
        </w:rPr>
      </w:pPr>
    </w:p>
    <w:p>
      <w:pPr>
        <w:autoSpaceDE w:val="0"/>
        <w:autoSpaceDN w:val="0"/>
        <w:adjustRightInd w:val="0"/>
        <w:spacing w:line="580" w:lineRule="exact"/>
        <w:ind w:firstLine="660"/>
        <w:jc w:val="left"/>
        <w:rPr>
          <w:rFonts w:ascii="仿宋_GB2312" w:hAnsi="Times" w:eastAsia="仿宋_GB2312" w:cs="Times"/>
          <w:sz w:val="32"/>
          <w:szCs w:val="32"/>
        </w:rPr>
      </w:pPr>
    </w:p>
    <w:p>
      <w:pPr>
        <w:autoSpaceDE w:val="0"/>
        <w:autoSpaceDN w:val="0"/>
        <w:adjustRightInd w:val="0"/>
        <w:spacing w:line="580" w:lineRule="exact"/>
        <w:ind w:firstLine="660"/>
        <w:jc w:val="left"/>
        <w:rPr>
          <w:rFonts w:ascii="仿宋_GB2312" w:hAnsi="Times" w:eastAsia="仿宋_GB2312" w:cs="Times"/>
          <w:sz w:val="32"/>
          <w:szCs w:val="32"/>
        </w:rPr>
      </w:pPr>
    </w:p>
    <w:p>
      <w:pPr>
        <w:autoSpaceDE w:val="0"/>
        <w:autoSpaceDN w:val="0"/>
        <w:adjustRightInd w:val="0"/>
        <w:spacing w:line="580" w:lineRule="exact"/>
        <w:jc w:val="left"/>
        <w:rPr>
          <w:rFonts w:ascii="仿宋_GB2312" w:hAnsi="Times" w:eastAsia="仿宋_GB2312" w:cs="Times"/>
          <w:sz w:val="32"/>
          <w:szCs w:val="32"/>
        </w:rPr>
      </w:pPr>
    </w:p>
    <w:p>
      <w:pPr>
        <w:autoSpaceDE w:val="0"/>
        <w:autoSpaceDN w:val="0"/>
        <w:adjustRightInd w:val="0"/>
        <w:jc w:val="left"/>
        <w:rPr>
          <w:rFonts w:ascii="仿宋_GB2312" w:hAnsi="Times" w:eastAsia="仿宋_GB2312" w:cs="Times"/>
          <w:sz w:val="32"/>
          <w:szCs w:val="32"/>
        </w:rPr>
        <w:sectPr>
          <w:pgSz w:w="11906" w:h="16838"/>
          <w:pgMar w:top="1440" w:right="1797" w:bottom="1440" w:left="1797" w:header="851" w:footer="992" w:gutter="0"/>
          <w:cols w:space="425" w:num="1"/>
          <w:docGrid w:type="lines" w:linePitch="312" w:charSpace="0"/>
        </w:sectPr>
      </w:pPr>
    </w:p>
    <w:p>
      <w:pPr>
        <w:spacing w:line="600" w:lineRule="exact"/>
        <w:ind w:right="640"/>
        <w:jc w:val="left"/>
        <w:rPr>
          <w:rFonts w:hAnsi="黑体" w:eastAsia="黑体" w:cs="Times New Roman"/>
          <w:color w:val="000000" w:themeColor="text1"/>
          <w:sz w:val="28"/>
          <w:szCs w:val="28"/>
        </w:rPr>
      </w:pPr>
      <w:r>
        <w:rPr>
          <w:rFonts w:hint="eastAsia" w:hAnsi="黑体" w:eastAsia="黑体" w:cs="Times New Roman"/>
          <w:color w:val="000000" w:themeColor="text1"/>
          <w:sz w:val="28"/>
          <w:szCs w:val="28"/>
        </w:rPr>
        <w:t>附件</w:t>
      </w:r>
    </w:p>
    <w:p>
      <w:pPr>
        <w:spacing w:line="600" w:lineRule="exact"/>
        <w:ind w:right="640"/>
        <w:jc w:val="center"/>
        <w:rPr>
          <w:rFonts w:eastAsia="方正小标宋_GBK" w:cs="Times New Roman"/>
          <w:color w:val="000000" w:themeColor="text1"/>
          <w:sz w:val="44"/>
          <w:szCs w:val="44"/>
        </w:rPr>
      </w:pPr>
      <w:r>
        <w:rPr>
          <w:rFonts w:eastAsia="方正小标宋_GBK" w:cs="Times New Roman"/>
          <w:color w:val="000000" w:themeColor="text1"/>
          <w:sz w:val="44"/>
          <w:szCs w:val="44"/>
        </w:rPr>
        <w:t>安全生产领域首次轻微违法行为不予行政处罚事项清单</w:t>
      </w:r>
    </w:p>
    <w:p>
      <w:pPr>
        <w:spacing w:line="600" w:lineRule="exact"/>
        <w:ind w:right="720"/>
        <w:jc w:val="center"/>
        <w:rPr>
          <w:rFonts w:eastAsia="黑体" w:cs="Times New Roman"/>
          <w:b/>
          <w:bCs/>
          <w:color w:val="000000" w:themeColor="text1"/>
          <w:sz w:val="32"/>
          <w:szCs w:val="32"/>
        </w:rPr>
      </w:pPr>
    </w:p>
    <w:tbl>
      <w:tblPr>
        <w:tblStyle w:val="1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368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0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序号</w:t>
            </w:r>
          </w:p>
        </w:tc>
        <w:tc>
          <w:tcPr>
            <w:tcW w:w="2126" w:type="dxa"/>
            <w:vAlign w:val="center"/>
          </w:tcPr>
          <w:p>
            <w:pPr>
              <w:spacing w:line="40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违法行为</w:t>
            </w:r>
          </w:p>
        </w:tc>
        <w:tc>
          <w:tcPr>
            <w:tcW w:w="3686" w:type="dxa"/>
            <w:vAlign w:val="center"/>
          </w:tcPr>
          <w:p>
            <w:pPr>
              <w:spacing w:line="40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适用条件</w:t>
            </w:r>
          </w:p>
        </w:tc>
        <w:tc>
          <w:tcPr>
            <w:tcW w:w="7371" w:type="dxa"/>
            <w:vAlign w:val="center"/>
          </w:tcPr>
          <w:p>
            <w:pPr>
              <w:spacing w:line="400" w:lineRule="exact"/>
              <w:jc w:val="center"/>
              <w:rPr>
                <w:rFonts w:ascii="黑体" w:hAnsi="黑体" w:eastAsia="黑体" w:cs="Times New Roman"/>
                <w:bCs/>
                <w:color w:val="000000" w:themeColor="text1"/>
                <w:kern w:val="0"/>
                <w:sz w:val="28"/>
                <w:szCs w:val="28"/>
              </w:rPr>
            </w:pPr>
            <w:r>
              <w:rPr>
                <w:rFonts w:hint="eastAsia" w:ascii="黑体" w:hAnsi="黑体" w:eastAsia="黑体" w:cs="Times New Roman"/>
                <w:bCs/>
                <w:color w:val="000000" w:themeColor="text1"/>
                <w:kern w:val="0"/>
                <w:sz w:val="28"/>
                <w:szCs w:val="28"/>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p>
        </w:tc>
        <w:tc>
          <w:tcPr>
            <w:tcW w:w="2126" w:type="dxa"/>
            <w:vAlign w:val="center"/>
          </w:tcPr>
          <w:p>
            <w:pPr>
              <w:spacing w:line="320" w:lineRule="exact"/>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生产经营单位未如实记录安全生产教育和培训情况。</w:t>
            </w:r>
          </w:p>
        </w:tc>
        <w:tc>
          <w:tcPr>
            <w:tcW w:w="3686" w:type="dxa"/>
            <w:vAlign w:val="center"/>
          </w:tcPr>
          <w:p>
            <w:pPr>
              <w:spacing w:line="400" w:lineRule="exact"/>
              <w:rPr>
                <w:rFonts w:ascii="仿宋_GB2312" w:eastAsia="仿宋_GB2312" w:cs="Times New Roman"/>
                <w:kern w:val="0"/>
                <w:sz w:val="28"/>
                <w:szCs w:val="28"/>
              </w:rPr>
            </w:pPr>
            <w:r>
              <w:rPr>
                <w:rFonts w:hint="eastAsia" w:ascii="仿宋_GB2312" w:hAnsi="仿宋"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hAnsi="仿宋" w:eastAsia="仿宋_GB2312" w:cs="Times New Roman"/>
                <w:color w:val="000000" w:themeColor="text1"/>
                <w:kern w:val="0"/>
                <w:sz w:val="28"/>
                <w:szCs w:val="28"/>
              </w:rPr>
              <w:t>有证据证明</w:t>
            </w:r>
            <w:r>
              <w:rPr>
                <w:rFonts w:hint="eastAsia" w:ascii="仿宋_GB2312" w:eastAsia="仿宋_GB2312" w:cs="Times New Roman"/>
                <w:color w:val="000000" w:themeColor="text1"/>
                <w:kern w:val="0"/>
                <w:sz w:val="28"/>
                <w:szCs w:val="28"/>
              </w:rPr>
              <w:t>已按规定开展</w:t>
            </w:r>
            <w:r>
              <w:rPr>
                <w:rFonts w:hint="eastAsia" w:ascii="仿宋_GB2312" w:hAnsi="仿宋" w:eastAsia="仿宋_GB2312" w:cs="Times New Roman"/>
                <w:color w:val="000000" w:themeColor="text1"/>
                <w:kern w:val="0"/>
                <w:sz w:val="28"/>
                <w:szCs w:val="28"/>
              </w:rPr>
              <w:t>安全生产教育和培训，但记录内容不规范、简化或有遗漏。</w:t>
            </w:r>
          </w:p>
        </w:tc>
        <w:tc>
          <w:tcPr>
            <w:tcW w:w="7371" w:type="dxa"/>
            <w:vAlign w:val="center"/>
          </w:tcPr>
          <w:p>
            <w:pPr>
              <w:spacing w:line="320" w:lineRule="exact"/>
              <w:ind w:left="420" w:leftChars="200"/>
              <w:jc w:val="left"/>
              <w:rPr>
                <w:rFonts w:ascii="仿宋_GB2312" w:hAnsi="仿宋" w:eastAsia="仿宋_GB2312" w:cs="Times New Roman"/>
                <w:b/>
                <w:bCs/>
                <w:color w:val="000000" w:themeColor="text1"/>
                <w:kern w:val="0"/>
                <w:sz w:val="28"/>
                <w:szCs w:val="28"/>
              </w:rPr>
            </w:pPr>
            <w:r>
              <w:rPr>
                <w:rFonts w:hint="eastAsia" w:ascii="仿宋_GB2312" w:hAnsi="仿宋" w:eastAsia="仿宋_GB2312" w:cs="Times New Roman"/>
                <w:b/>
                <w:bCs/>
                <w:color w:val="000000" w:themeColor="text1"/>
                <w:kern w:val="0"/>
                <w:sz w:val="28"/>
                <w:szCs w:val="28"/>
              </w:rPr>
              <w:t>《中华人民共和国安全生产法》</w:t>
            </w:r>
          </w:p>
          <w:p>
            <w:pPr>
              <w:spacing w:line="320" w:lineRule="exact"/>
              <w:ind w:left="-107" w:leftChars="-51"/>
              <w:jc w:val="left"/>
              <w:rPr>
                <w:rFonts w:ascii="仿宋_GB2312" w:hAnsi="仿宋" w:eastAsia="仿宋_GB2312" w:cs="Times New Roman"/>
                <w:b/>
                <w:bCs/>
                <w:color w:val="000000" w:themeColor="text1"/>
                <w:kern w:val="0"/>
                <w:sz w:val="28"/>
                <w:szCs w:val="28"/>
              </w:rPr>
            </w:pPr>
            <w:r>
              <w:rPr>
                <w:rFonts w:hint="eastAsia" w:ascii="仿宋_GB2312" w:hAnsi="仿宋" w:eastAsia="仿宋_GB2312" w:cs="Times New Roman"/>
                <w:bCs/>
                <w:color w:val="000000" w:themeColor="text1"/>
                <w:kern w:val="0"/>
                <w:sz w:val="28"/>
                <w:szCs w:val="28"/>
              </w:rPr>
              <w:t xml:space="preserve">    第九十七条  </w:t>
            </w:r>
            <w:r>
              <w:rPr>
                <w:rFonts w:hint="eastAsia" w:ascii="仿宋_GB2312" w:hAnsi="仿宋" w:eastAsia="仿宋_GB2312" w:cs="Times New Roman"/>
                <w:color w:val="000000" w:themeColor="text1"/>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_GB2312" w:hAnsi="仿宋" w:eastAsia="仿宋_GB2312" w:cs="Times New Roman"/>
                <w:color w:val="000000" w:themeColor="text1"/>
                <w:kern w:val="0"/>
                <w:sz w:val="28"/>
                <w:szCs w:val="28"/>
                <w:lang w:eastAsia="zh-CN"/>
              </w:rPr>
              <w:t>：</w:t>
            </w:r>
          </w:p>
          <w:p>
            <w:pPr>
              <w:spacing w:line="320" w:lineRule="exact"/>
              <w:ind w:firstLine="560" w:firstLineChars="200"/>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（四）未如实记录安全生产教育和培训情况的；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p>
        </w:tc>
        <w:tc>
          <w:tcPr>
            <w:tcW w:w="2126" w:type="dxa"/>
            <w:vAlign w:val="center"/>
          </w:tcPr>
          <w:p>
            <w:pPr>
              <w:spacing w:line="320" w:lineRule="exact"/>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生产经营单位未将事故隐患排查治理情况如实记录或者未按照规定向从业人员通报。</w:t>
            </w:r>
          </w:p>
        </w:tc>
        <w:tc>
          <w:tcPr>
            <w:tcW w:w="3686" w:type="dxa"/>
            <w:vAlign w:val="center"/>
          </w:tcPr>
          <w:p>
            <w:pPr>
              <w:spacing w:line="400" w:lineRule="exact"/>
              <w:rPr>
                <w:rFonts w:ascii="仿宋_GB2312" w:eastAsia="仿宋_GB2312" w:cs="Times New Roman"/>
                <w:kern w:val="0"/>
                <w:sz w:val="28"/>
                <w:szCs w:val="28"/>
              </w:rPr>
            </w:pPr>
            <w:r>
              <w:rPr>
                <w:rFonts w:hint="eastAsia" w:ascii="仿宋_GB2312" w:hAnsi="仿宋"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hAnsi="仿宋" w:eastAsia="仿宋_GB2312" w:cs="Times New Roman"/>
                <w:color w:val="000000" w:themeColor="text1"/>
                <w:kern w:val="0"/>
                <w:sz w:val="28"/>
                <w:szCs w:val="28"/>
              </w:rPr>
              <w:t>有证据证明已开展事故隐患排查治理工作，记录内容不规范、简化、有遗漏，或者已如实记录但仅向部分从业人员通报、未向全体从业人员通报。</w:t>
            </w:r>
          </w:p>
        </w:tc>
        <w:tc>
          <w:tcPr>
            <w:tcW w:w="7371" w:type="dxa"/>
            <w:vAlign w:val="center"/>
          </w:tcPr>
          <w:p>
            <w:pPr>
              <w:spacing w:line="320" w:lineRule="exact"/>
              <w:ind w:left="420" w:leftChars="200"/>
              <w:jc w:val="left"/>
              <w:rPr>
                <w:rFonts w:ascii="仿宋_GB2312" w:hAnsi="仿宋" w:eastAsia="仿宋_GB2312" w:cs="Times New Roman"/>
                <w:b/>
                <w:bCs/>
                <w:color w:val="000000" w:themeColor="text1"/>
                <w:kern w:val="0"/>
                <w:sz w:val="28"/>
                <w:szCs w:val="28"/>
              </w:rPr>
            </w:pPr>
            <w:r>
              <w:rPr>
                <w:rFonts w:hint="eastAsia" w:ascii="仿宋_GB2312" w:hAnsi="仿宋" w:eastAsia="仿宋_GB2312" w:cs="Times New Roman"/>
                <w:b/>
                <w:bCs/>
                <w:color w:val="000000" w:themeColor="text1"/>
                <w:kern w:val="0"/>
                <w:sz w:val="28"/>
                <w:szCs w:val="28"/>
              </w:rPr>
              <w:t>《中华人民共和国安全生产法》</w:t>
            </w:r>
          </w:p>
          <w:p>
            <w:pPr>
              <w:spacing w:line="320" w:lineRule="exact"/>
              <w:ind w:firstLine="560" w:firstLineChars="200"/>
              <w:jc w:val="left"/>
              <w:rPr>
                <w:rFonts w:ascii="仿宋_GB2312" w:eastAsia="仿宋_GB2312" w:cs="Times New Roman"/>
                <w:color w:val="000000" w:themeColor="text1"/>
                <w:kern w:val="0"/>
                <w:sz w:val="28"/>
                <w:szCs w:val="28"/>
              </w:rPr>
            </w:pPr>
            <w:r>
              <w:rPr>
                <w:rFonts w:hint="eastAsia" w:ascii="仿宋_GB2312" w:hAnsi="仿宋" w:eastAsia="仿宋_GB2312" w:cs="Times New Roman"/>
                <w:bCs/>
                <w:color w:val="000000" w:themeColor="text1"/>
                <w:kern w:val="0"/>
                <w:sz w:val="28"/>
                <w:szCs w:val="28"/>
              </w:rPr>
              <w:t xml:space="preserve">第九十七条  </w:t>
            </w:r>
            <w:r>
              <w:rPr>
                <w:rFonts w:hint="eastAsia" w:ascii="仿宋_GB2312" w:hAnsi="仿宋" w:eastAsia="仿宋_GB2312" w:cs="Times New Roman"/>
                <w:color w:val="000000" w:themeColor="text1"/>
                <w:kern w:val="0"/>
                <w:sz w:val="28"/>
                <w:szCs w:val="2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320" w:lineRule="exact"/>
              <w:ind w:firstLine="560" w:firstLineChars="200"/>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（五）未将事故隐患排查治理情况如实记录或者未向从业人员通报的；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3</w:t>
            </w:r>
          </w:p>
        </w:tc>
        <w:tc>
          <w:tcPr>
            <w:tcW w:w="2126" w:type="dxa"/>
            <w:vAlign w:val="center"/>
          </w:tcPr>
          <w:p>
            <w:pPr>
              <w:spacing w:line="320" w:lineRule="exact"/>
              <w:jc w:val="left"/>
              <w:rPr>
                <w:rFonts w:ascii="仿宋_GB2312" w:hAnsi="仿宋"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lang w:val="zh-CN"/>
              </w:rPr>
              <w:t>生产经营单位未按照规定制定生产安全事故应急救援预案。</w:t>
            </w:r>
          </w:p>
        </w:tc>
        <w:tc>
          <w:tcPr>
            <w:tcW w:w="3686" w:type="dxa"/>
          </w:tcPr>
          <w:p>
            <w:pPr>
              <w:spacing w:line="40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400" w:lineRule="exact"/>
              <w:rPr>
                <w:rFonts w:ascii="仿宋_GB2312" w:hAnsi="仿宋" w:eastAsia="仿宋_GB2312" w:cs="Times New Roman"/>
                <w:color w:val="000000" w:themeColor="text1"/>
                <w:kern w:val="0"/>
                <w:sz w:val="28"/>
                <w:szCs w:val="28"/>
              </w:rPr>
            </w:pPr>
            <w:r>
              <w:rPr>
                <w:rFonts w:hint="eastAsia" w:ascii="仿宋_GB2312" w:eastAsia="仿宋_GB2312" w:cs="Times New Roman"/>
                <w:kern w:val="0"/>
                <w:sz w:val="28"/>
                <w:szCs w:val="28"/>
              </w:rPr>
              <w:t>2</w:t>
            </w:r>
            <w:r>
              <w:rPr>
                <w:rFonts w:ascii="仿宋_GB2312" w:eastAsia="仿宋_GB2312" w:cs="Times New Roman"/>
                <w:kern w:val="0"/>
                <w:sz w:val="28"/>
                <w:szCs w:val="28"/>
              </w:rPr>
              <w:t>.</w:t>
            </w:r>
            <w:r>
              <w:rPr>
                <w:rFonts w:hint="eastAsia" w:ascii="仿宋_GB2312" w:eastAsia="仿宋_GB2312" w:cs="Times New Roman"/>
                <w:kern w:val="0"/>
                <w:sz w:val="28"/>
                <w:szCs w:val="28"/>
              </w:rPr>
              <w:t>已经制定事故应急救援预案，并开展过应急预案演练，但预案编制不规范。</w:t>
            </w:r>
          </w:p>
        </w:tc>
        <w:tc>
          <w:tcPr>
            <w:tcW w:w="7371" w:type="dxa"/>
          </w:tcPr>
          <w:p>
            <w:pPr>
              <w:pStyle w:val="18"/>
              <w:spacing w:line="320" w:lineRule="exact"/>
              <w:ind w:left="210" w:leftChars="100" w:firstLine="280" w:firstLineChars="100"/>
              <w:rPr>
                <w:rFonts w:ascii="仿宋_GB2312" w:hAnsi="Times New Roman" w:eastAsia="仿宋_GB2312" w:cs="Times New Roman"/>
                <w:color w:val="000000" w:themeColor="text1"/>
                <w:sz w:val="28"/>
                <w:szCs w:val="28"/>
              </w:rPr>
            </w:pPr>
            <w:r>
              <w:rPr>
                <w:rFonts w:hint="eastAsia" w:ascii="仿宋_GB2312" w:hAnsi="仿宋" w:eastAsia="仿宋_GB2312" w:cs="Times New Roman"/>
                <w:b/>
                <w:bCs/>
                <w:color w:val="000000" w:themeColor="text1"/>
                <w:sz w:val="28"/>
                <w:szCs w:val="28"/>
              </w:rPr>
              <w:t>《中华人民共和国安全生产法》</w:t>
            </w:r>
          </w:p>
          <w:p>
            <w:pPr>
              <w:pStyle w:val="18"/>
              <w:spacing w:line="320" w:lineRule="exact"/>
              <w:ind w:firstLine="560" w:firstLineChars="200"/>
              <w:rPr>
                <w:rStyle w:val="19"/>
                <w:rFonts w:ascii="仿宋_GB2312" w:hAnsi="仿宋" w:eastAsia="仿宋_GB2312" w:cs="Times New Roman"/>
                <w:color w:val="000000" w:themeColor="text1"/>
                <w:sz w:val="28"/>
                <w:szCs w:val="28"/>
                <w:lang w:val="zh-CN"/>
              </w:rPr>
            </w:pPr>
            <w:r>
              <w:rPr>
                <w:rStyle w:val="19"/>
                <w:rFonts w:hint="eastAsia" w:ascii="仿宋_GB2312" w:hAnsi="仿宋" w:eastAsia="仿宋_GB2312" w:cs="Times New Roman"/>
                <w:color w:val="000000" w:themeColor="text1"/>
                <w:sz w:val="28"/>
                <w:szCs w:val="28"/>
                <w:lang w:val="zh-CN"/>
              </w:rPr>
              <w:t xml:space="preserve">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w:t>
            </w:r>
          </w:p>
          <w:p>
            <w:pPr>
              <w:pStyle w:val="18"/>
              <w:spacing w:line="320" w:lineRule="exact"/>
              <w:ind w:firstLine="560" w:firstLineChars="200"/>
              <w:rPr>
                <w:rFonts w:cs="Times New Roman"/>
                <w:lang w:val="zh-CN"/>
              </w:rPr>
            </w:pPr>
            <w:r>
              <w:rPr>
                <w:rStyle w:val="19"/>
                <w:rFonts w:hint="eastAsia" w:ascii="仿宋_GB2312" w:hAnsi="仿宋" w:eastAsia="仿宋_GB2312" w:cs="Times New Roman"/>
                <w:color w:val="000000" w:themeColor="text1"/>
                <w:sz w:val="28"/>
                <w:szCs w:val="28"/>
                <w:lang w:val="zh-CN"/>
              </w:rPr>
              <w:t>（六）未按照规定制定生产安全事故应急救援预案或者未定期组织演练的。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4</w:t>
            </w:r>
          </w:p>
        </w:tc>
        <w:tc>
          <w:tcPr>
            <w:tcW w:w="2126" w:type="dxa"/>
            <w:vAlign w:val="center"/>
          </w:tcPr>
          <w:p>
            <w:pPr>
              <w:spacing w:line="320" w:lineRule="exact"/>
              <w:jc w:val="left"/>
              <w:rPr>
                <w:rFonts w:ascii="仿宋_GB2312" w:hAnsi="仿宋"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w:t>
            </w:r>
            <w:r>
              <w:rPr>
                <w:rFonts w:eastAsia="仿宋_GB2312" w:cs="Times New Roman"/>
                <w:kern w:val="0"/>
                <w:sz w:val="28"/>
                <w:szCs w:val="28"/>
              </w:rPr>
              <w:t>未按照规定定期组织应急预案演练</w:t>
            </w:r>
            <w:r>
              <w:rPr>
                <w:rFonts w:hint="eastAsia" w:eastAsia="仿宋_GB2312" w:cs="Times New Roman"/>
                <w:kern w:val="0"/>
                <w:sz w:val="28"/>
                <w:szCs w:val="28"/>
              </w:rPr>
              <w:t>。</w:t>
            </w:r>
          </w:p>
        </w:tc>
        <w:tc>
          <w:tcPr>
            <w:tcW w:w="3686" w:type="dxa"/>
          </w:tcPr>
          <w:p>
            <w:pPr>
              <w:spacing w:line="40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400" w:lineRule="exact"/>
              <w:rPr>
                <w:rFonts w:ascii="仿宋_GB2312" w:hAnsi="仿宋" w:eastAsia="仿宋_GB2312" w:cs="Times New Roman"/>
                <w:color w:val="000000" w:themeColor="text1"/>
                <w:kern w:val="0"/>
                <w:sz w:val="28"/>
                <w:szCs w:val="28"/>
              </w:rPr>
            </w:pPr>
            <w:r>
              <w:rPr>
                <w:rFonts w:eastAsia="仿宋_GB2312" w:cs="Times New Roman"/>
                <w:kern w:val="0"/>
                <w:sz w:val="28"/>
                <w:szCs w:val="28"/>
              </w:rPr>
              <w:t>2.</w:t>
            </w:r>
            <w:r>
              <w:rPr>
                <w:rFonts w:hint="eastAsia" w:ascii="仿宋_GB2312" w:hAnsi="仿宋" w:eastAsia="仿宋_GB2312" w:cs="Times New Roman"/>
                <w:color w:val="000000" w:themeColor="text1"/>
                <w:kern w:val="0"/>
                <w:sz w:val="28"/>
                <w:szCs w:val="28"/>
              </w:rPr>
              <w:t>有证据证明</w:t>
            </w:r>
            <w:r>
              <w:rPr>
                <w:rFonts w:hint="eastAsia" w:eastAsia="仿宋_GB2312" w:cs="Times New Roman"/>
                <w:kern w:val="0"/>
                <w:sz w:val="28"/>
                <w:szCs w:val="28"/>
              </w:rPr>
              <w:t>已</w:t>
            </w:r>
            <w:r>
              <w:rPr>
                <w:rFonts w:eastAsia="仿宋_GB2312" w:cs="Times New Roman"/>
                <w:kern w:val="0"/>
                <w:sz w:val="28"/>
                <w:szCs w:val="28"/>
              </w:rPr>
              <w:t>开展过应急</w:t>
            </w:r>
            <w:r>
              <w:rPr>
                <w:rFonts w:hint="eastAsia" w:eastAsia="仿宋_GB2312" w:cs="Times New Roman"/>
                <w:kern w:val="0"/>
                <w:sz w:val="28"/>
                <w:szCs w:val="28"/>
              </w:rPr>
              <w:t>预案</w:t>
            </w:r>
            <w:r>
              <w:rPr>
                <w:rFonts w:eastAsia="仿宋_GB2312" w:cs="Times New Roman"/>
                <w:kern w:val="0"/>
                <w:sz w:val="28"/>
                <w:szCs w:val="28"/>
              </w:rPr>
              <w:t>演练</w:t>
            </w:r>
            <w:r>
              <w:rPr>
                <w:rFonts w:hint="eastAsia" w:eastAsia="仿宋_GB2312" w:cs="Times New Roman"/>
                <w:kern w:val="0"/>
                <w:sz w:val="28"/>
                <w:szCs w:val="28"/>
              </w:rPr>
              <w:t>，</w:t>
            </w:r>
            <w:r>
              <w:rPr>
                <w:rFonts w:eastAsia="仿宋_GB2312" w:cs="Times New Roman"/>
                <w:kern w:val="0"/>
                <w:sz w:val="28"/>
                <w:szCs w:val="28"/>
              </w:rPr>
              <w:t>但</w:t>
            </w:r>
            <w:r>
              <w:rPr>
                <w:rFonts w:hint="eastAsia" w:eastAsia="仿宋_GB2312" w:cs="Times New Roman"/>
                <w:kern w:val="0"/>
                <w:sz w:val="28"/>
                <w:szCs w:val="28"/>
              </w:rPr>
              <w:t>演练</w:t>
            </w:r>
            <w:r>
              <w:rPr>
                <w:rFonts w:eastAsia="仿宋_GB2312" w:cs="Times New Roman"/>
                <w:kern w:val="0"/>
                <w:sz w:val="28"/>
                <w:szCs w:val="28"/>
              </w:rPr>
              <w:t>次数不符合《生产安全事故应急预案管理办法》第三十三条要求的。</w:t>
            </w:r>
          </w:p>
        </w:tc>
        <w:tc>
          <w:tcPr>
            <w:tcW w:w="7371" w:type="dxa"/>
          </w:tcPr>
          <w:p>
            <w:pPr>
              <w:pStyle w:val="18"/>
              <w:spacing w:line="320" w:lineRule="exact"/>
              <w:ind w:left="210" w:leftChars="100" w:firstLine="280" w:firstLineChars="100"/>
              <w:rPr>
                <w:rFonts w:ascii="仿宋_GB2312" w:hAnsi="Times New Roman" w:eastAsia="仿宋_GB2312" w:cs="Times New Roman"/>
                <w:color w:val="000000" w:themeColor="text1"/>
                <w:sz w:val="28"/>
                <w:szCs w:val="28"/>
              </w:rPr>
            </w:pPr>
            <w:r>
              <w:rPr>
                <w:rFonts w:hint="eastAsia" w:ascii="仿宋_GB2312" w:hAnsi="仿宋" w:eastAsia="仿宋_GB2312" w:cs="Times New Roman"/>
                <w:b/>
                <w:bCs/>
                <w:color w:val="000000" w:themeColor="text1"/>
                <w:sz w:val="28"/>
                <w:szCs w:val="28"/>
              </w:rPr>
              <w:t>《中华人民共和国安全生产法》</w:t>
            </w:r>
          </w:p>
          <w:p>
            <w:pPr>
              <w:pStyle w:val="18"/>
              <w:spacing w:line="320" w:lineRule="exact"/>
              <w:ind w:firstLine="560" w:firstLineChars="200"/>
              <w:rPr>
                <w:rStyle w:val="19"/>
                <w:rFonts w:ascii="仿宋_GB2312" w:hAnsi="仿宋" w:eastAsia="仿宋_GB2312" w:cs="Times New Roman"/>
                <w:color w:val="000000" w:themeColor="text1"/>
                <w:sz w:val="28"/>
                <w:szCs w:val="28"/>
                <w:lang w:val="zh-CN"/>
              </w:rPr>
            </w:pPr>
            <w:r>
              <w:rPr>
                <w:rStyle w:val="19"/>
                <w:rFonts w:hint="eastAsia" w:ascii="仿宋_GB2312" w:hAnsi="仿宋" w:eastAsia="仿宋_GB2312" w:cs="Times New Roman"/>
                <w:color w:val="000000" w:themeColor="text1"/>
                <w:sz w:val="28"/>
                <w:szCs w:val="28"/>
                <w:lang w:val="zh-CN"/>
              </w:rPr>
              <w:t xml:space="preserve">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w:t>
            </w:r>
          </w:p>
          <w:p>
            <w:pPr>
              <w:pStyle w:val="18"/>
              <w:spacing w:line="320" w:lineRule="exact"/>
              <w:ind w:firstLine="560" w:firstLineChars="200"/>
              <w:rPr>
                <w:rFonts w:cs="Times New Roman"/>
                <w:lang w:val="zh-CN"/>
              </w:rPr>
            </w:pPr>
            <w:r>
              <w:rPr>
                <w:rStyle w:val="19"/>
                <w:rFonts w:hint="eastAsia" w:ascii="仿宋_GB2312" w:hAnsi="仿宋" w:eastAsia="仿宋_GB2312" w:cs="Times New Roman"/>
                <w:color w:val="000000" w:themeColor="text1"/>
                <w:sz w:val="28"/>
                <w:szCs w:val="28"/>
                <w:lang w:val="zh-CN"/>
              </w:rPr>
              <w:t>（六）未按照规定制定生产安全事故应急救援预案或者未定期组织演练的。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5</w:t>
            </w:r>
          </w:p>
        </w:tc>
        <w:tc>
          <w:tcPr>
            <w:tcW w:w="2126" w:type="dxa"/>
            <w:vAlign w:val="center"/>
          </w:tcPr>
          <w:p>
            <w:pPr>
              <w:spacing w:line="320" w:lineRule="exact"/>
              <w:jc w:val="left"/>
              <w:rPr>
                <w:rFonts w:ascii="仿宋_GB2312" w:hAnsi="仿宋"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生产经营单位未在有较大危险因素的生产经营场所和有关设施、设备上设置明显的安全警示标志。</w:t>
            </w:r>
          </w:p>
        </w:tc>
        <w:tc>
          <w:tcPr>
            <w:tcW w:w="3686" w:type="dxa"/>
          </w:tcPr>
          <w:p>
            <w:pPr>
              <w:spacing w:line="40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400" w:lineRule="exact"/>
              <w:rPr>
                <w:rFonts w:eastAsia="仿宋_GB2312" w:cs="Times New Roman"/>
                <w:kern w:val="0"/>
                <w:sz w:val="28"/>
                <w:szCs w:val="28"/>
              </w:rPr>
            </w:pPr>
            <w:r>
              <w:rPr>
                <w:rFonts w:eastAsia="仿宋_GB2312" w:cs="Times New Roman"/>
                <w:kern w:val="0"/>
                <w:sz w:val="28"/>
                <w:szCs w:val="28"/>
              </w:rPr>
              <w:t>2.</w:t>
            </w:r>
            <w:r>
              <w:rPr>
                <w:rFonts w:hint="eastAsia" w:eastAsia="仿宋_GB2312" w:cs="Times New Roman"/>
                <w:kern w:val="0"/>
                <w:sz w:val="28"/>
                <w:szCs w:val="28"/>
              </w:rPr>
              <w:t>非有限空间作业场所；</w:t>
            </w:r>
          </w:p>
          <w:p>
            <w:pPr>
              <w:spacing w:line="400" w:lineRule="exact"/>
              <w:rPr>
                <w:rFonts w:eastAsia="仿宋_GB2312" w:cs="Times New Roman"/>
                <w:kern w:val="0"/>
                <w:sz w:val="28"/>
                <w:szCs w:val="28"/>
              </w:rPr>
            </w:pPr>
            <w:r>
              <w:rPr>
                <w:rFonts w:hint="eastAsia" w:ascii="仿宋_GB2312" w:hAnsi="仿宋" w:eastAsia="仿宋_GB2312" w:cs="Times New Roman"/>
                <w:color w:val="000000" w:themeColor="text1"/>
                <w:kern w:val="0"/>
                <w:sz w:val="28"/>
                <w:szCs w:val="28"/>
              </w:rPr>
              <w:t>3</w:t>
            </w:r>
            <w:r>
              <w:rPr>
                <w:rFonts w:ascii="仿宋_GB2312" w:hAnsi="仿宋" w:eastAsia="仿宋_GB2312" w:cs="Times New Roman"/>
                <w:color w:val="000000" w:themeColor="text1"/>
                <w:kern w:val="0"/>
                <w:sz w:val="28"/>
                <w:szCs w:val="28"/>
              </w:rPr>
              <w:t>.</w:t>
            </w:r>
            <w:r>
              <w:rPr>
                <w:rFonts w:hint="eastAsia" w:ascii="仿宋_GB2312" w:hAnsi="仿宋" w:eastAsia="仿宋_GB2312" w:cs="Times New Roman"/>
                <w:color w:val="000000" w:themeColor="text1"/>
                <w:kern w:val="0"/>
                <w:sz w:val="28"/>
                <w:szCs w:val="28"/>
              </w:rPr>
              <w:t>有证据证明</w:t>
            </w:r>
            <w:r>
              <w:rPr>
                <w:rFonts w:hint="eastAsia" w:eastAsia="仿宋_GB2312" w:cs="Times New Roman"/>
                <w:kern w:val="0"/>
                <w:sz w:val="28"/>
                <w:szCs w:val="28"/>
              </w:rPr>
              <w:t>已设置安全警示标志，但位置不明显或者脱落后未及时张贴的。</w:t>
            </w:r>
          </w:p>
        </w:tc>
        <w:tc>
          <w:tcPr>
            <w:tcW w:w="7371" w:type="dxa"/>
          </w:tcPr>
          <w:p>
            <w:pPr>
              <w:pStyle w:val="18"/>
              <w:spacing w:line="320" w:lineRule="exact"/>
              <w:ind w:firstLine="560" w:firstLineChars="200"/>
              <w:rPr>
                <w:rStyle w:val="19"/>
                <w:rFonts w:ascii="仿宋_GB2312" w:hAnsi="仿宋" w:eastAsia="仿宋_GB2312" w:cs="Times New Roman"/>
                <w:b/>
                <w:bCs/>
                <w:color w:val="000000" w:themeColor="text1"/>
                <w:sz w:val="28"/>
                <w:szCs w:val="28"/>
                <w:lang w:val="zh-CN"/>
              </w:rPr>
            </w:pPr>
            <w:r>
              <w:rPr>
                <w:rStyle w:val="19"/>
                <w:rFonts w:hint="eastAsia" w:ascii="仿宋_GB2312" w:hAnsi="仿宋" w:eastAsia="仿宋_GB2312" w:cs="Times New Roman"/>
                <w:b/>
                <w:bCs/>
                <w:color w:val="000000" w:themeColor="text1"/>
                <w:sz w:val="28"/>
                <w:szCs w:val="28"/>
                <w:lang w:val="zh-CN"/>
              </w:rPr>
              <w:t>《中华人民共和国安全生产法》</w:t>
            </w:r>
          </w:p>
          <w:p>
            <w:pPr>
              <w:pStyle w:val="18"/>
              <w:spacing w:line="320" w:lineRule="exact"/>
              <w:ind w:firstLine="560" w:firstLineChars="200"/>
              <w:rPr>
                <w:rStyle w:val="19"/>
                <w:rFonts w:ascii="仿宋_GB2312" w:hAnsi="仿宋" w:eastAsia="仿宋_GB2312" w:cs="Times New Roman"/>
                <w:color w:val="000000" w:themeColor="text1"/>
                <w:sz w:val="28"/>
                <w:szCs w:val="28"/>
                <w:lang w:val="zh-CN"/>
              </w:rPr>
            </w:pPr>
            <w:r>
              <w:rPr>
                <w:rStyle w:val="19"/>
                <w:rFonts w:hint="eastAsia" w:ascii="仿宋_GB2312" w:hAnsi="仿宋" w:eastAsia="仿宋_GB2312" w:cs="Times New Roman"/>
                <w:color w:val="000000" w:themeColor="text1"/>
                <w:sz w:val="28"/>
                <w:szCs w:val="28"/>
                <w:lang w:val="zh-CN"/>
              </w:rPr>
              <w:t xml:space="preserve">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w:t>
            </w:r>
          </w:p>
          <w:p>
            <w:pPr>
              <w:pStyle w:val="18"/>
              <w:spacing w:line="320" w:lineRule="exact"/>
              <w:ind w:firstLine="560" w:firstLineChars="200"/>
              <w:rPr>
                <w:rFonts w:ascii="仿宋_GB2312" w:hAnsi="仿宋" w:eastAsia="仿宋_GB2312" w:cs="Times New Roman"/>
                <w:b/>
                <w:bCs/>
                <w:color w:val="000000" w:themeColor="text1"/>
                <w:sz w:val="28"/>
                <w:szCs w:val="28"/>
              </w:rPr>
            </w:pPr>
            <w:r>
              <w:rPr>
                <w:rStyle w:val="19"/>
                <w:rFonts w:hint="eastAsia" w:ascii="仿宋_GB2312" w:hAnsi="仿宋" w:eastAsia="仿宋_GB2312" w:cs="Times New Roman"/>
                <w:color w:val="000000" w:themeColor="text1"/>
                <w:sz w:val="28"/>
                <w:szCs w:val="28"/>
                <w:lang w:val="zh-CN"/>
              </w:rPr>
              <w:t>（一）未在有较大危险因素的生产经营场所和有关设施、设备上设置明显的安全警示标志的；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6</w:t>
            </w:r>
          </w:p>
        </w:tc>
        <w:tc>
          <w:tcPr>
            <w:tcW w:w="2126" w:type="dxa"/>
            <w:vAlign w:val="center"/>
          </w:tcPr>
          <w:p>
            <w:pPr>
              <w:pStyle w:val="18"/>
              <w:spacing w:line="320" w:lineRule="exact"/>
              <w:ind w:firstLine="0"/>
              <w:rPr>
                <w:rFonts w:ascii="仿宋_GB2312" w:hAnsi="Times New Roman"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rPr>
              <w:t>生产经营单位未建立安全风险分级管控制度。</w:t>
            </w:r>
          </w:p>
        </w:tc>
        <w:tc>
          <w:tcPr>
            <w:tcW w:w="3686" w:type="dxa"/>
            <w:vAlign w:val="center"/>
          </w:tcPr>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hAnsi="仿宋" w:eastAsia="仿宋_GB2312" w:cs="Times New Roman"/>
                <w:color w:val="000000" w:themeColor="text1"/>
                <w:kern w:val="0"/>
                <w:sz w:val="28"/>
                <w:szCs w:val="28"/>
              </w:rPr>
              <w:t>有证据证明已采取相应的管控措施。</w:t>
            </w:r>
          </w:p>
        </w:tc>
        <w:tc>
          <w:tcPr>
            <w:tcW w:w="7371" w:type="dxa"/>
            <w:vAlign w:val="center"/>
          </w:tcPr>
          <w:p>
            <w:pPr>
              <w:pStyle w:val="18"/>
              <w:spacing w:line="320" w:lineRule="exact"/>
              <w:ind w:left="420" w:leftChars="200" w:firstLine="0"/>
              <w:rPr>
                <w:rFonts w:ascii="仿宋_GB2312" w:hAnsi="Times New Roman" w:eastAsia="仿宋_GB2312" w:cs="Times New Roman"/>
                <w:color w:val="000000" w:themeColor="text1"/>
                <w:sz w:val="28"/>
                <w:szCs w:val="28"/>
              </w:rPr>
            </w:pPr>
            <w:r>
              <w:rPr>
                <w:rFonts w:hint="eastAsia" w:ascii="仿宋_GB2312" w:hAnsi="仿宋" w:eastAsia="仿宋_GB2312" w:cs="Times New Roman"/>
                <w:b/>
                <w:bCs/>
                <w:color w:val="000000" w:themeColor="text1"/>
                <w:sz w:val="28"/>
                <w:szCs w:val="28"/>
              </w:rPr>
              <w:t>《中华人民共和国安全生产法》</w:t>
            </w:r>
          </w:p>
          <w:p>
            <w:pPr>
              <w:pStyle w:val="18"/>
              <w:spacing w:line="320" w:lineRule="exact"/>
              <w:ind w:firstLine="560" w:firstLineChars="200"/>
              <w:rPr>
                <w:rFonts w:ascii="仿宋_GB2312" w:hAnsi="Times New Roman" w:eastAsia="仿宋_GB2312" w:cs="Times New Roman"/>
                <w:color w:val="000000" w:themeColor="text1"/>
                <w:sz w:val="28"/>
                <w:szCs w:val="28"/>
              </w:rPr>
            </w:pPr>
            <w:r>
              <w:rPr>
                <w:rFonts w:hint="eastAsia" w:ascii="仿宋_GB2312" w:hAnsi="仿宋" w:eastAsia="仿宋_GB2312" w:cs="Times New Roman"/>
                <w:color w:val="000000" w:themeColor="text1"/>
                <w:sz w:val="28"/>
                <w:szCs w:val="28"/>
              </w:rPr>
              <w:t>第一百零一条</w:t>
            </w:r>
            <w:r>
              <w:rPr>
                <w:rStyle w:val="19"/>
                <w:rFonts w:hint="eastAsia" w:ascii="仿宋_GB2312" w:hAnsi="仿宋" w:eastAsia="仿宋_GB2312" w:cs="Times New Roman"/>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19"/>
                <w:rFonts w:hint="eastAsia" w:ascii="仿宋_GB2312" w:hAnsi="仿宋" w:eastAsia="仿宋_GB2312" w:cs="Times New Roman"/>
                <w:color w:val="000000" w:themeColor="text1"/>
                <w:sz w:val="28"/>
                <w:szCs w:val="28"/>
              </w:rPr>
              <w:t>：</w:t>
            </w:r>
          </w:p>
          <w:p>
            <w:pPr>
              <w:spacing w:line="320" w:lineRule="exact"/>
              <w:ind w:firstLine="560" w:firstLineChars="200"/>
              <w:jc w:val="left"/>
              <w:rPr>
                <w:rFonts w:ascii="仿宋_GB2312"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（四）未建立安全风险分级管控制度或者未按照安全风险分级采取相应管控措施的；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7</w:t>
            </w:r>
          </w:p>
        </w:tc>
        <w:tc>
          <w:tcPr>
            <w:tcW w:w="2126" w:type="dxa"/>
            <w:vAlign w:val="center"/>
          </w:tcPr>
          <w:p>
            <w:pPr>
              <w:pStyle w:val="18"/>
              <w:spacing w:line="320" w:lineRule="exact"/>
              <w:ind w:firstLine="0"/>
              <w:rPr>
                <w:rFonts w:ascii="仿宋_GB2312" w:hAnsi="Times New Roman"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生产经营单位未建立事故隐患排查治理制度。</w:t>
            </w:r>
          </w:p>
        </w:tc>
        <w:tc>
          <w:tcPr>
            <w:tcW w:w="3686" w:type="dxa"/>
            <w:vAlign w:val="center"/>
          </w:tcPr>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20" w:lineRule="exact"/>
              <w:jc w:val="left"/>
              <w:rPr>
                <w:rFonts w:ascii="仿宋_GB2312" w:hAnsi="仿宋"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2.</w:t>
            </w:r>
            <w:r>
              <w:rPr>
                <w:rFonts w:hint="eastAsia" w:ascii="仿宋_GB2312" w:hAnsi="仿宋" w:eastAsia="仿宋_GB2312" w:cs="Times New Roman"/>
                <w:color w:val="000000" w:themeColor="text1"/>
                <w:kern w:val="0"/>
                <w:sz w:val="28"/>
                <w:szCs w:val="28"/>
                <w:lang w:val="zh-CN"/>
              </w:rPr>
              <w:t>有证据证明已开展事故隐患排查治理工作</w:t>
            </w:r>
            <w:r>
              <w:rPr>
                <w:rFonts w:hint="eastAsia" w:ascii="仿宋_GB2312" w:hAnsi="仿宋" w:eastAsia="仿宋_GB2312" w:cs="Times New Roman"/>
                <w:color w:val="000000" w:themeColor="text1"/>
                <w:kern w:val="0"/>
                <w:sz w:val="28"/>
                <w:szCs w:val="28"/>
              </w:rPr>
              <w:t>。</w:t>
            </w:r>
          </w:p>
        </w:tc>
        <w:tc>
          <w:tcPr>
            <w:tcW w:w="7371" w:type="dxa"/>
            <w:vAlign w:val="center"/>
          </w:tcPr>
          <w:p>
            <w:pPr>
              <w:pStyle w:val="18"/>
              <w:spacing w:line="320" w:lineRule="exact"/>
              <w:ind w:left="210" w:leftChars="100" w:firstLine="280" w:firstLineChars="100"/>
              <w:rPr>
                <w:rFonts w:ascii="仿宋_GB2312" w:hAnsi="Times New Roman" w:eastAsia="仿宋_GB2312" w:cs="Times New Roman"/>
                <w:color w:val="000000" w:themeColor="text1"/>
                <w:sz w:val="28"/>
                <w:szCs w:val="28"/>
              </w:rPr>
            </w:pPr>
            <w:r>
              <w:rPr>
                <w:rFonts w:hint="eastAsia" w:ascii="仿宋_GB2312" w:hAnsi="仿宋" w:eastAsia="仿宋_GB2312" w:cs="Times New Roman"/>
                <w:b/>
                <w:bCs/>
                <w:color w:val="000000" w:themeColor="text1"/>
                <w:sz w:val="28"/>
                <w:szCs w:val="28"/>
              </w:rPr>
              <w:t>《中华人民共和国安全生产法》</w:t>
            </w:r>
          </w:p>
          <w:p>
            <w:pPr>
              <w:pStyle w:val="18"/>
              <w:spacing w:line="320" w:lineRule="exact"/>
              <w:ind w:firstLine="560" w:firstLineChars="200"/>
              <w:rPr>
                <w:rFonts w:ascii="仿宋_GB2312" w:hAnsi="Times New Roman" w:eastAsia="仿宋_GB2312" w:cs="Times New Roman"/>
                <w:color w:val="000000" w:themeColor="text1"/>
                <w:sz w:val="28"/>
                <w:szCs w:val="28"/>
              </w:rPr>
            </w:pPr>
            <w:r>
              <w:rPr>
                <w:rFonts w:hint="eastAsia" w:ascii="仿宋_GB2312" w:hAnsi="仿宋" w:eastAsia="仿宋_GB2312" w:cs="Times New Roman"/>
                <w:color w:val="000000" w:themeColor="text1"/>
                <w:sz w:val="28"/>
                <w:szCs w:val="28"/>
              </w:rPr>
              <w:t>第一百零一条</w:t>
            </w:r>
            <w:r>
              <w:rPr>
                <w:rStyle w:val="19"/>
                <w:rFonts w:hint="eastAsia" w:ascii="仿宋_GB2312" w:hAnsi="仿宋" w:eastAsia="仿宋_GB2312" w:cs="Times New Roman"/>
                <w:color w:val="000000" w:themeColor="text1"/>
                <w:sz w:val="28"/>
                <w:szCs w:val="28"/>
                <w:lang w:val="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Style w:val="19"/>
                <w:rFonts w:hint="eastAsia" w:ascii="仿宋_GB2312" w:hAnsi="仿宋" w:eastAsia="仿宋_GB2312" w:cs="Times New Roman"/>
                <w:color w:val="000000" w:themeColor="text1"/>
                <w:sz w:val="28"/>
                <w:szCs w:val="28"/>
              </w:rPr>
              <w:t>：</w:t>
            </w:r>
          </w:p>
          <w:p>
            <w:pPr>
              <w:spacing w:line="320" w:lineRule="exact"/>
              <w:ind w:firstLine="560" w:firstLineChars="200"/>
              <w:jc w:val="left"/>
              <w:rPr>
                <w:rFonts w:ascii="仿宋_GB2312" w:eastAsia="仿宋_GB2312" w:cs="Times New Roman"/>
                <w:b/>
                <w:bCs/>
                <w:color w:val="000000" w:themeColor="text1"/>
                <w:kern w:val="0"/>
                <w:sz w:val="28"/>
                <w:szCs w:val="28"/>
              </w:rPr>
            </w:pPr>
            <w:r>
              <w:rPr>
                <w:rFonts w:hint="eastAsia" w:ascii="仿宋_GB2312" w:hAnsi="仿宋" w:eastAsia="仿宋_GB2312" w:cs="Times New Roman"/>
                <w:color w:val="000000" w:themeColor="text1"/>
                <w:kern w:val="0"/>
                <w:sz w:val="28"/>
                <w:szCs w:val="28"/>
              </w:rPr>
              <w:t>（五）</w:t>
            </w:r>
            <w:r>
              <w:rPr>
                <w:rFonts w:hint="eastAsia" w:ascii="仿宋_GB2312" w:hAnsi="仿宋" w:eastAsia="仿宋_GB2312" w:cs="Times New Roman"/>
                <w:color w:val="000000" w:themeColor="text1"/>
                <w:kern w:val="0"/>
                <w:sz w:val="28"/>
                <w:szCs w:val="28"/>
                <w:lang w:val="zh-CN"/>
              </w:rPr>
              <w:t>未建立事故隐患排查治理制度，或者重大事故隐患排查治理情况未按照规定报告的。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8</w:t>
            </w:r>
          </w:p>
        </w:tc>
        <w:tc>
          <w:tcPr>
            <w:tcW w:w="2126" w:type="dxa"/>
            <w:vAlign w:val="center"/>
          </w:tcPr>
          <w:p>
            <w:pPr>
              <w:pStyle w:val="18"/>
              <w:spacing w:line="32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危险物品的生产、经营、储存单位以及矿山、金属冶炼单位未建立应急救援组织或者未指定兼职应急救援人员。</w:t>
            </w:r>
          </w:p>
        </w:tc>
        <w:tc>
          <w:tcPr>
            <w:tcW w:w="3686" w:type="dxa"/>
            <w:vAlign w:val="center"/>
          </w:tcPr>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w:t>
            </w:r>
            <w:r>
              <w:rPr>
                <w:rFonts w:hint="eastAsia" w:ascii="仿宋_GB2312" w:eastAsia="仿宋_GB2312" w:cs="Times New Roman"/>
                <w:kern w:val="0"/>
                <w:sz w:val="28"/>
                <w:szCs w:val="28"/>
              </w:rPr>
              <w:t>初次违法且危害后果轻微并及时改正；</w:t>
            </w:r>
          </w:p>
          <w:p>
            <w:pPr>
              <w:spacing w:line="320" w:lineRule="exact"/>
              <w:jc w:val="left"/>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2.</w:t>
            </w:r>
            <w:r>
              <w:rPr>
                <w:rFonts w:hint="eastAsia" w:ascii="仿宋_GB2312" w:eastAsia="仿宋_GB2312" w:cs="Times New Roman"/>
                <w:color w:val="000000" w:themeColor="text1"/>
                <w:kern w:val="0"/>
                <w:sz w:val="28"/>
                <w:szCs w:val="28"/>
              </w:rPr>
              <w:t>生产经营规模较小、未指定兼职应急救援人员。</w:t>
            </w:r>
          </w:p>
        </w:tc>
        <w:tc>
          <w:tcPr>
            <w:tcW w:w="7371" w:type="dxa"/>
            <w:vAlign w:val="center"/>
          </w:tcPr>
          <w:p>
            <w:pPr>
              <w:spacing w:line="400" w:lineRule="exact"/>
              <w:ind w:firstLine="560" w:firstLineChars="200"/>
              <w:rPr>
                <w:rFonts w:ascii="仿宋_GB2312" w:eastAsia="仿宋_GB2312" w:cs="Times New Roman"/>
                <w:b/>
                <w:kern w:val="0"/>
                <w:sz w:val="28"/>
                <w:szCs w:val="28"/>
              </w:rPr>
            </w:pPr>
            <w:r>
              <w:rPr>
                <w:rFonts w:hint="eastAsia" w:ascii="仿宋_GB2312" w:eastAsia="仿宋_GB2312" w:cs="Times New Roman"/>
                <w:b/>
                <w:bCs/>
                <w:kern w:val="0"/>
                <w:sz w:val="28"/>
                <w:szCs w:val="28"/>
              </w:rPr>
              <w:t>《安全生产违法行为行政处罚办法》（</w:t>
            </w:r>
            <w:r>
              <w:rPr>
                <w:rFonts w:hint="eastAsia" w:ascii="仿宋_GB2312" w:eastAsia="仿宋_GB2312" w:cs="Times New Roman"/>
                <w:b/>
                <w:kern w:val="0"/>
                <w:sz w:val="28"/>
                <w:szCs w:val="28"/>
              </w:rPr>
              <w:t>国家</w:t>
            </w:r>
            <w:r>
              <w:rPr>
                <w:rFonts w:hint="eastAsia" w:ascii="仿宋_GB2312" w:hAnsi="仿宋" w:eastAsia="仿宋_GB2312" w:cs="Times New Roman"/>
                <w:b/>
                <w:bCs/>
                <w:color w:val="000000" w:themeColor="text1"/>
                <w:kern w:val="0"/>
                <w:sz w:val="28"/>
                <w:szCs w:val="28"/>
                <w:lang w:val="zh-CN"/>
              </w:rPr>
              <w:t>安全监管</w:t>
            </w:r>
            <w:r>
              <w:rPr>
                <w:rFonts w:hint="eastAsia" w:ascii="仿宋_GB2312" w:eastAsia="仿宋_GB2312" w:cs="Times New Roman"/>
                <w:b/>
                <w:kern w:val="0"/>
                <w:sz w:val="28"/>
                <w:szCs w:val="28"/>
              </w:rPr>
              <w:t>总局令第</w:t>
            </w:r>
            <w:r>
              <w:rPr>
                <w:rFonts w:ascii="仿宋_GB2312" w:eastAsia="仿宋_GB2312" w:cs="Times New Roman"/>
                <w:b/>
                <w:kern w:val="0"/>
                <w:sz w:val="28"/>
                <w:szCs w:val="28"/>
              </w:rPr>
              <w:t>15</w:t>
            </w:r>
            <w:r>
              <w:rPr>
                <w:rFonts w:hint="eastAsia" w:ascii="仿宋_GB2312" w:eastAsia="仿宋_GB2312" w:cs="Times New Roman"/>
                <w:b/>
                <w:kern w:val="0"/>
                <w:sz w:val="28"/>
                <w:szCs w:val="28"/>
              </w:rPr>
              <w:t>号）</w:t>
            </w:r>
          </w:p>
          <w:p>
            <w:pPr>
              <w:pStyle w:val="18"/>
              <w:spacing w:line="320" w:lineRule="exact"/>
              <w:ind w:firstLine="560" w:firstLineChars="200"/>
              <w:rPr>
                <w:rFonts w:ascii="仿宋_GB2312" w:eastAsia="仿宋_GB2312"/>
                <w:sz w:val="28"/>
                <w:szCs w:val="28"/>
              </w:rPr>
            </w:pPr>
            <w:r>
              <w:rPr>
                <w:rFonts w:hint="eastAsia" w:ascii="仿宋_GB2312" w:eastAsia="仿宋_GB2312"/>
                <w:sz w:val="28"/>
                <w:szCs w:val="28"/>
              </w:rPr>
              <w:t xml:space="preserve">第四十六条 危险物品的生产、经营、储存单位以及矿山、金属冶炼单位有下列行为之一的，责令改正，并可以处1万元以上3万元以下的罚款： </w:t>
            </w:r>
          </w:p>
          <w:p>
            <w:pPr>
              <w:pStyle w:val="18"/>
              <w:spacing w:line="320" w:lineRule="exact"/>
              <w:ind w:left="210" w:leftChars="100" w:firstLine="280" w:firstLineChars="100"/>
              <w:rPr>
                <w:rFonts w:ascii="仿宋_GB2312" w:hAnsi="仿宋" w:eastAsia="仿宋_GB2312" w:cs="Times New Roman"/>
                <w:b/>
                <w:bCs/>
                <w:color w:val="000000" w:themeColor="text1"/>
                <w:sz w:val="28"/>
                <w:szCs w:val="28"/>
              </w:rPr>
            </w:pPr>
            <w:r>
              <w:rPr>
                <w:rFonts w:hint="eastAsia" w:ascii="仿宋_GB2312" w:eastAsia="仿宋_GB2312"/>
                <w:sz w:val="28"/>
                <w:szCs w:val="28"/>
              </w:rPr>
              <w:t>（一）未建立应急救援组织或者生产经营规模较小、未指定兼职应急救援人员的。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9</w:t>
            </w:r>
          </w:p>
        </w:tc>
        <w:tc>
          <w:tcPr>
            <w:tcW w:w="2126" w:type="dxa"/>
            <w:vAlign w:val="center"/>
          </w:tcPr>
          <w:p>
            <w:pPr>
              <w:pStyle w:val="18"/>
              <w:spacing w:line="32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生产经营单位未建立健全特种作业人员档案。</w:t>
            </w:r>
          </w:p>
        </w:tc>
        <w:tc>
          <w:tcPr>
            <w:tcW w:w="3686" w:type="dxa"/>
          </w:tcPr>
          <w:p>
            <w:pPr>
              <w:spacing w:line="40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kern w:val="0"/>
                <w:sz w:val="28"/>
                <w:szCs w:val="28"/>
              </w:rPr>
              <w:t>2.生产经营单位特种作业人员均取得操作资格证书。</w:t>
            </w:r>
          </w:p>
        </w:tc>
        <w:tc>
          <w:tcPr>
            <w:tcW w:w="7371" w:type="dxa"/>
          </w:tcPr>
          <w:p>
            <w:pPr>
              <w:spacing w:line="400" w:lineRule="exact"/>
              <w:ind w:firstLine="560" w:firstLineChars="200"/>
              <w:rPr>
                <w:rFonts w:ascii="仿宋_GB2312" w:eastAsia="仿宋_GB2312" w:cs="Times New Roman"/>
                <w:b/>
                <w:kern w:val="0"/>
                <w:sz w:val="28"/>
                <w:szCs w:val="28"/>
              </w:rPr>
            </w:pPr>
            <w:r>
              <w:rPr>
                <w:rFonts w:hint="eastAsia" w:ascii="仿宋_GB2312" w:eastAsia="仿宋_GB2312" w:cs="Times New Roman"/>
                <w:b/>
                <w:kern w:val="0"/>
                <w:sz w:val="28"/>
                <w:szCs w:val="28"/>
              </w:rPr>
              <w:t>《特种作业人员安全技术培训考核管理规定》（国家</w:t>
            </w:r>
            <w:r>
              <w:rPr>
                <w:rFonts w:hint="eastAsia" w:ascii="仿宋_GB2312" w:hAnsi="仿宋" w:eastAsia="仿宋_GB2312" w:cs="Times New Roman"/>
                <w:b/>
                <w:bCs/>
                <w:color w:val="000000" w:themeColor="text1"/>
                <w:kern w:val="0"/>
                <w:sz w:val="28"/>
                <w:szCs w:val="28"/>
                <w:lang w:val="zh-CN"/>
              </w:rPr>
              <w:t>安全监管</w:t>
            </w:r>
            <w:r>
              <w:rPr>
                <w:rFonts w:hint="eastAsia" w:ascii="仿宋_GB2312" w:eastAsia="仿宋_GB2312" w:cs="Times New Roman"/>
                <w:b/>
                <w:kern w:val="0"/>
                <w:sz w:val="28"/>
                <w:szCs w:val="28"/>
              </w:rPr>
              <w:t>总局令第3</w:t>
            </w:r>
            <w:r>
              <w:rPr>
                <w:rFonts w:ascii="仿宋_GB2312" w:eastAsia="仿宋_GB2312" w:cs="Times New Roman"/>
                <w:b/>
                <w:kern w:val="0"/>
                <w:sz w:val="28"/>
                <w:szCs w:val="28"/>
              </w:rPr>
              <w:t>0</w:t>
            </w:r>
            <w:r>
              <w:rPr>
                <w:rFonts w:hint="eastAsia" w:ascii="仿宋_GB2312" w:eastAsia="仿宋_GB2312" w:cs="Times New Roman"/>
                <w:b/>
                <w:kern w:val="0"/>
                <w:sz w:val="28"/>
                <w:szCs w:val="28"/>
              </w:rPr>
              <w:t>号）</w:t>
            </w:r>
          </w:p>
          <w:p>
            <w:pPr>
              <w:pStyle w:val="18"/>
              <w:spacing w:line="320" w:lineRule="exact"/>
              <w:ind w:left="210" w:leftChars="100" w:firstLine="280" w:firstLineChars="100"/>
              <w:rPr>
                <w:rFonts w:ascii="仿宋_GB2312" w:hAnsi="仿宋" w:eastAsia="仿宋_GB2312" w:cs="Times New Roman"/>
                <w:b/>
                <w:bCs/>
                <w:color w:val="000000" w:themeColor="text1"/>
                <w:sz w:val="28"/>
                <w:szCs w:val="28"/>
              </w:rPr>
            </w:pPr>
            <w:r>
              <w:rPr>
                <w:rFonts w:hint="eastAsia" w:ascii="仿宋_GB2312" w:eastAsia="仿宋_GB2312"/>
                <w:sz w:val="28"/>
                <w:szCs w:val="28"/>
              </w:rPr>
              <w:t xml:space="preserve">  第三十八条 生产经营单位未建立健全特种作业人员档案的，给予警告，并处1万元以下的罚款。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10</w:t>
            </w:r>
          </w:p>
        </w:tc>
        <w:tc>
          <w:tcPr>
            <w:tcW w:w="2126" w:type="dxa"/>
            <w:vAlign w:val="center"/>
          </w:tcPr>
          <w:p>
            <w:pPr>
              <w:pStyle w:val="18"/>
              <w:spacing w:line="32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企业未按规定时限申请变更危化品经营许可证的企业名称、主要负责人、注册地址。</w:t>
            </w:r>
          </w:p>
        </w:tc>
        <w:tc>
          <w:tcPr>
            <w:tcW w:w="3686" w:type="dxa"/>
            <w:vAlign w:val="center"/>
          </w:tcPr>
          <w:p>
            <w:pPr>
              <w:spacing w:line="40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320" w:lineRule="exact"/>
              <w:jc w:val="lef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ascii="仿宋_GB2312" w:eastAsia="仿宋_GB2312" w:cs="Times New Roman"/>
                <w:kern w:val="0"/>
                <w:sz w:val="28"/>
                <w:szCs w:val="28"/>
              </w:rPr>
              <w:t>未在变更之日起2</w:t>
            </w:r>
            <w:r>
              <w:rPr>
                <w:rFonts w:ascii="仿宋_GB2312" w:eastAsia="仿宋_GB2312" w:cs="Times New Roman"/>
                <w:kern w:val="0"/>
                <w:sz w:val="28"/>
                <w:szCs w:val="28"/>
              </w:rPr>
              <w:t>0</w:t>
            </w:r>
            <w:r>
              <w:rPr>
                <w:rFonts w:hint="eastAsia" w:ascii="仿宋_GB2312" w:eastAsia="仿宋_GB2312" w:cs="Times New Roman"/>
                <w:kern w:val="0"/>
                <w:sz w:val="28"/>
                <w:szCs w:val="28"/>
              </w:rPr>
              <w:t>个工作日内提出申请，但在期限届满后2</w:t>
            </w:r>
            <w:r>
              <w:rPr>
                <w:rFonts w:ascii="仿宋_GB2312" w:eastAsia="仿宋_GB2312" w:cs="Times New Roman"/>
                <w:kern w:val="0"/>
                <w:sz w:val="28"/>
                <w:szCs w:val="28"/>
              </w:rPr>
              <w:t>0</w:t>
            </w:r>
            <w:r>
              <w:rPr>
                <w:rFonts w:hint="eastAsia" w:ascii="仿宋_GB2312" w:eastAsia="仿宋_GB2312" w:cs="Times New Roman"/>
                <w:kern w:val="0"/>
                <w:sz w:val="28"/>
                <w:szCs w:val="28"/>
              </w:rPr>
              <w:t>个工作日内提出申请。</w:t>
            </w:r>
          </w:p>
        </w:tc>
        <w:tc>
          <w:tcPr>
            <w:tcW w:w="7371" w:type="dxa"/>
            <w:vAlign w:val="center"/>
          </w:tcPr>
          <w:p>
            <w:pPr>
              <w:widowControl/>
              <w:spacing w:line="360" w:lineRule="exact"/>
              <w:ind w:firstLine="560" w:firstLineChars="200"/>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
                <w:bCs/>
                <w:color w:val="000000" w:themeColor="text1"/>
                <w:kern w:val="0"/>
                <w:sz w:val="28"/>
                <w:szCs w:val="28"/>
                <w:lang w:val="zh-CN"/>
              </w:rPr>
              <w:t>《</w:t>
            </w:r>
            <w:r>
              <w:rPr>
                <w:rFonts w:ascii="仿宋_GB2312" w:hAnsi="仿宋" w:eastAsia="仿宋_GB2312" w:cs="Times New Roman"/>
                <w:b/>
                <w:bCs/>
                <w:color w:val="000000" w:themeColor="text1"/>
                <w:kern w:val="0"/>
                <w:sz w:val="28"/>
                <w:szCs w:val="28"/>
                <w:lang w:val="zh-CN"/>
              </w:rPr>
              <w:t>危险化学品经营许可证管理办法</w:t>
            </w:r>
            <w:r>
              <w:rPr>
                <w:rFonts w:hint="eastAsia" w:ascii="仿宋_GB2312" w:hAnsi="仿宋" w:eastAsia="仿宋_GB2312" w:cs="Times New Roman"/>
                <w:b/>
                <w:bCs/>
                <w:color w:val="000000" w:themeColor="text1"/>
                <w:kern w:val="0"/>
                <w:sz w:val="28"/>
                <w:szCs w:val="28"/>
                <w:lang w:val="zh-CN"/>
              </w:rPr>
              <w:t>》（国家安全监管总局令第55号）</w:t>
            </w:r>
          </w:p>
          <w:p>
            <w:pPr>
              <w:widowControl/>
              <w:spacing w:line="360" w:lineRule="exact"/>
              <w:ind w:firstLine="560" w:firstLineChars="200"/>
              <w:jc w:val="left"/>
              <w:rPr>
                <w:rFonts w:ascii="宋体" w:hAnsi="宋体" w:cs="宋体"/>
                <w:kern w:val="0"/>
                <w:sz w:val="24"/>
              </w:rPr>
            </w:pPr>
            <w:r>
              <w:rPr>
                <w:rFonts w:hint="eastAsia" w:ascii="仿宋_GB2312" w:hAnsi="仿宋" w:eastAsia="仿宋_GB2312" w:cs="Times New Roman"/>
                <w:color w:val="000000" w:themeColor="text1"/>
                <w:kern w:val="0"/>
                <w:sz w:val="28"/>
                <w:szCs w:val="28"/>
                <w:lang w:val="zh-CN"/>
              </w:rPr>
              <w:t>第三十三条 已经取得经营许可证的企业出现本办法第十四条、第十六条规定的情形之一，未依照本办法的规定申请变更的，责令限期改正，处1万元以下的罚款；逾期仍不申请变更的，处1万元以上3万元以下的罚款。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11</w:t>
            </w:r>
          </w:p>
        </w:tc>
        <w:tc>
          <w:tcPr>
            <w:tcW w:w="2126" w:type="dxa"/>
            <w:vAlign w:val="center"/>
          </w:tcPr>
          <w:p>
            <w:pPr>
              <w:pStyle w:val="18"/>
              <w:spacing w:line="32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企业未按规定时限申请变更危化品安全使用许可证的主要负责人、企业名称、注册地址。</w:t>
            </w:r>
          </w:p>
        </w:tc>
        <w:tc>
          <w:tcPr>
            <w:tcW w:w="3686" w:type="dxa"/>
            <w:vAlign w:val="center"/>
          </w:tcPr>
          <w:p>
            <w:pPr>
              <w:spacing w:line="40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40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ascii="仿宋_GB2312" w:eastAsia="仿宋_GB2312" w:cs="Times New Roman"/>
                <w:kern w:val="0"/>
                <w:sz w:val="28"/>
                <w:szCs w:val="28"/>
              </w:rPr>
              <w:t>未在营业执照变更之日起10个工作日内提出变更申请，但在期限届满后2</w:t>
            </w:r>
            <w:r>
              <w:rPr>
                <w:rFonts w:ascii="仿宋_GB2312" w:eastAsia="仿宋_GB2312" w:cs="Times New Roman"/>
                <w:kern w:val="0"/>
                <w:sz w:val="28"/>
                <w:szCs w:val="28"/>
              </w:rPr>
              <w:t>0</w:t>
            </w:r>
            <w:r>
              <w:rPr>
                <w:rFonts w:hint="eastAsia" w:ascii="仿宋_GB2312" w:eastAsia="仿宋_GB2312" w:cs="Times New Roman"/>
                <w:kern w:val="0"/>
                <w:sz w:val="28"/>
                <w:szCs w:val="28"/>
              </w:rPr>
              <w:t>个工作日内提出申请。</w:t>
            </w:r>
          </w:p>
        </w:tc>
        <w:tc>
          <w:tcPr>
            <w:tcW w:w="7371" w:type="dxa"/>
            <w:vAlign w:val="center"/>
          </w:tcPr>
          <w:p>
            <w:pPr>
              <w:widowControl/>
              <w:spacing w:line="360" w:lineRule="exact"/>
              <w:ind w:firstLine="560" w:firstLineChars="200"/>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
                <w:bCs/>
                <w:color w:val="000000" w:themeColor="text1"/>
                <w:kern w:val="0"/>
                <w:sz w:val="28"/>
                <w:szCs w:val="28"/>
                <w:lang w:val="zh-CN"/>
              </w:rPr>
              <w:t>《</w:t>
            </w:r>
            <w:r>
              <w:rPr>
                <w:rFonts w:ascii="仿宋_GB2312" w:hAnsi="仿宋" w:eastAsia="仿宋_GB2312" w:cs="Times New Roman"/>
                <w:b/>
                <w:bCs/>
                <w:color w:val="000000" w:themeColor="text1"/>
                <w:kern w:val="0"/>
                <w:sz w:val="28"/>
                <w:szCs w:val="28"/>
                <w:lang w:val="zh-CN"/>
              </w:rPr>
              <w:t>危险化学品安全使用许可证实施办法</w:t>
            </w:r>
            <w:r>
              <w:rPr>
                <w:rFonts w:hint="eastAsia" w:ascii="仿宋_GB2312" w:hAnsi="仿宋" w:eastAsia="仿宋_GB2312" w:cs="Times New Roman"/>
                <w:b/>
                <w:bCs/>
                <w:color w:val="000000" w:themeColor="text1"/>
                <w:kern w:val="0"/>
                <w:sz w:val="28"/>
                <w:szCs w:val="28"/>
                <w:lang w:val="zh-CN"/>
              </w:rPr>
              <w:t>》（国家安全监管总局令第5</w:t>
            </w:r>
            <w:r>
              <w:rPr>
                <w:rFonts w:ascii="仿宋_GB2312" w:hAnsi="仿宋" w:eastAsia="仿宋_GB2312" w:cs="Times New Roman"/>
                <w:b/>
                <w:bCs/>
                <w:color w:val="000000" w:themeColor="text1"/>
                <w:kern w:val="0"/>
                <w:sz w:val="28"/>
                <w:szCs w:val="28"/>
                <w:lang w:val="zh-CN"/>
              </w:rPr>
              <w:t>7</w:t>
            </w:r>
            <w:r>
              <w:rPr>
                <w:rFonts w:hint="eastAsia" w:ascii="仿宋_GB2312" w:hAnsi="仿宋" w:eastAsia="仿宋_GB2312" w:cs="Times New Roman"/>
                <w:b/>
                <w:bCs/>
                <w:color w:val="000000" w:themeColor="text1"/>
                <w:kern w:val="0"/>
                <w:sz w:val="28"/>
                <w:szCs w:val="28"/>
                <w:lang w:val="zh-CN"/>
              </w:rPr>
              <w:t>号）</w:t>
            </w:r>
          </w:p>
          <w:p>
            <w:pPr>
              <w:widowControl/>
              <w:spacing w:after="312" w:afterLines="100" w:line="360" w:lineRule="exact"/>
              <w:ind w:firstLine="560" w:firstLineChars="200"/>
              <w:jc w:val="left"/>
              <w:rPr>
                <w:rFonts w:ascii="仿宋_GB2312" w:hAnsi="仿宋" w:eastAsia="仿宋_GB2312" w:cs="Times New Roman"/>
                <w:color w:val="000000" w:themeColor="text1"/>
                <w:kern w:val="0"/>
                <w:sz w:val="28"/>
                <w:szCs w:val="28"/>
                <w:lang w:val="zh-CN"/>
              </w:rPr>
            </w:pPr>
            <w:r>
              <w:rPr>
                <w:rFonts w:hint="eastAsia" w:ascii="仿宋_GB2312" w:hAnsi="仿宋" w:eastAsia="仿宋_GB2312" w:cs="Times New Roman"/>
                <w:color w:val="000000" w:themeColor="text1"/>
                <w:kern w:val="0"/>
                <w:sz w:val="28"/>
                <w:szCs w:val="28"/>
                <w:lang w:val="zh-CN"/>
              </w:rPr>
              <w:t>第三十九条 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12</w:t>
            </w:r>
          </w:p>
        </w:tc>
        <w:tc>
          <w:tcPr>
            <w:tcW w:w="2126" w:type="dxa"/>
            <w:vAlign w:val="center"/>
          </w:tcPr>
          <w:p>
            <w:pPr>
              <w:pStyle w:val="18"/>
              <w:spacing w:line="32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烟花爆竹批发企业未按规定时限申请变更批发许可证的企业名称、主要负责人、注册地址。</w:t>
            </w:r>
          </w:p>
        </w:tc>
        <w:tc>
          <w:tcPr>
            <w:tcW w:w="3686" w:type="dxa"/>
            <w:vAlign w:val="center"/>
          </w:tcPr>
          <w:p>
            <w:pPr>
              <w:spacing w:line="400" w:lineRule="exact"/>
              <w:rPr>
                <w:rFonts w:ascii="仿宋_GB2312" w:eastAsia="仿宋_GB2312" w:cs="Times New Roman"/>
                <w:kern w:val="0"/>
                <w:sz w:val="28"/>
                <w:szCs w:val="28"/>
              </w:rPr>
            </w:pPr>
            <w:r>
              <w:rPr>
                <w:rFonts w:hint="eastAsia" w:ascii="仿宋_GB2312" w:eastAsia="仿宋_GB2312" w:cs="Times New Roman"/>
                <w:kern w:val="0"/>
                <w:sz w:val="28"/>
                <w:szCs w:val="28"/>
              </w:rPr>
              <w:t>1.初次违法且危害后果轻微并及时改正；</w:t>
            </w:r>
          </w:p>
          <w:p>
            <w:pPr>
              <w:spacing w:line="40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ascii="仿宋_GB2312" w:eastAsia="仿宋_GB2312" w:cs="Times New Roman"/>
                <w:kern w:val="0"/>
                <w:sz w:val="28"/>
                <w:szCs w:val="28"/>
              </w:rPr>
              <w:t>未在变更之日起10个工作日内提出变更申请，但在期限届满后2</w:t>
            </w:r>
            <w:r>
              <w:rPr>
                <w:rFonts w:ascii="仿宋_GB2312" w:eastAsia="仿宋_GB2312" w:cs="Times New Roman"/>
                <w:kern w:val="0"/>
                <w:sz w:val="28"/>
                <w:szCs w:val="28"/>
              </w:rPr>
              <w:t>0</w:t>
            </w:r>
            <w:r>
              <w:rPr>
                <w:rFonts w:hint="eastAsia" w:ascii="仿宋_GB2312" w:eastAsia="仿宋_GB2312" w:cs="Times New Roman"/>
                <w:kern w:val="0"/>
                <w:sz w:val="28"/>
                <w:szCs w:val="28"/>
              </w:rPr>
              <w:t>个工作日内提出申请。</w:t>
            </w:r>
          </w:p>
        </w:tc>
        <w:tc>
          <w:tcPr>
            <w:tcW w:w="7371" w:type="dxa"/>
            <w:vAlign w:val="center"/>
          </w:tcPr>
          <w:p>
            <w:pPr>
              <w:widowControl/>
              <w:spacing w:line="360" w:lineRule="exact"/>
              <w:ind w:firstLine="560" w:firstLineChars="200"/>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
                <w:bCs/>
                <w:color w:val="000000" w:themeColor="text1"/>
                <w:kern w:val="0"/>
                <w:sz w:val="28"/>
                <w:szCs w:val="28"/>
                <w:lang w:val="zh-CN"/>
              </w:rPr>
              <w:t>《烟花爆竹经营许可实施办法》（国家安全监管总局令第65号）</w:t>
            </w:r>
          </w:p>
          <w:p>
            <w:pPr>
              <w:widowControl/>
              <w:spacing w:line="360" w:lineRule="exact"/>
              <w:jc w:val="left"/>
              <w:rPr>
                <w:rFonts w:ascii="仿宋_GB2312" w:hAnsi="仿宋" w:eastAsia="仿宋_GB2312" w:cs="Times New Roman"/>
                <w:color w:val="000000" w:themeColor="text1"/>
                <w:kern w:val="0"/>
                <w:sz w:val="28"/>
                <w:szCs w:val="28"/>
                <w:lang w:val="zh-CN"/>
              </w:rPr>
            </w:pPr>
            <w:r>
              <w:rPr>
                <w:rFonts w:hint="eastAsia" w:ascii="仿宋_GB2312" w:hAnsi="仿宋" w:eastAsia="仿宋_GB2312" w:cs="Times New Roman"/>
                <w:color w:val="000000" w:themeColor="text1"/>
                <w:kern w:val="0"/>
                <w:sz w:val="28"/>
                <w:szCs w:val="28"/>
                <w:lang w:val="zh-CN"/>
              </w:rPr>
              <w:t xml:space="preserve">    第三十二条  批发企业有下列行为之一的，责令其限期改正，处5000元以上3万元以下的罚款：</w:t>
            </w:r>
          </w:p>
          <w:p>
            <w:pPr>
              <w:widowControl/>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color w:val="000000" w:themeColor="text1"/>
                <w:kern w:val="0"/>
                <w:sz w:val="28"/>
                <w:szCs w:val="28"/>
                <w:lang w:val="zh-CN"/>
              </w:rPr>
              <w:t xml:space="preserve">    （九）变更企业名称、主要负责人、注册地址，未申请办理许可证变更手续的；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13</w:t>
            </w:r>
          </w:p>
        </w:tc>
        <w:tc>
          <w:tcPr>
            <w:tcW w:w="2126" w:type="dxa"/>
            <w:vAlign w:val="center"/>
          </w:tcPr>
          <w:p>
            <w:pPr>
              <w:pStyle w:val="18"/>
              <w:spacing w:line="320" w:lineRule="exact"/>
              <w:ind w:firstLine="0"/>
              <w:rPr>
                <w:rFonts w:ascii="仿宋_GB2312" w:hAnsi="仿宋" w:eastAsia="仿宋_GB2312" w:cs="Times New Roman"/>
                <w:color w:val="000000" w:themeColor="text1"/>
                <w:sz w:val="28"/>
                <w:szCs w:val="28"/>
                <w:lang w:val="zh-CN"/>
              </w:rPr>
            </w:pPr>
            <w:r>
              <w:rPr>
                <w:rFonts w:hint="eastAsia" w:ascii="仿宋_GB2312" w:hAnsi="仿宋" w:eastAsia="仿宋_GB2312" w:cs="Times New Roman"/>
                <w:color w:val="000000" w:themeColor="text1"/>
                <w:sz w:val="28"/>
                <w:szCs w:val="28"/>
                <w:lang w:val="zh-CN"/>
              </w:rPr>
              <w:t>工贸企业</w:t>
            </w:r>
            <w:r>
              <w:rPr>
                <w:rFonts w:hint="eastAsia" w:ascii="仿宋_GB2312" w:hAnsi="仿宋" w:eastAsia="仿宋_GB2312"/>
                <w:color w:val="000000" w:themeColor="text1"/>
                <w:sz w:val="28"/>
                <w:szCs w:val="28"/>
                <w:lang w:val="zh-CN"/>
              </w:rPr>
              <w:t>未按规定对有限空间作业进行辨识、提出防范措施、建立有限空间管理台账。</w:t>
            </w:r>
          </w:p>
        </w:tc>
        <w:tc>
          <w:tcPr>
            <w:tcW w:w="3686" w:type="dxa"/>
            <w:vAlign w:val="center"/>
          </w:tcPr>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1.初次违法且危害后果轻微并及时改正；</w:t>
            </w:r>
          </w:p>
          <w:p>
            <w:pPr>
              <w:spacing w:line="400" w:lineRule="exact"/>
              <w:rPr>
                <w:rFonts w:ascii="仿宋_GB2312" w:eastAsia="仿宋_GB2312" w:cs="Times New Roman"/>
                <w:kern w:val="0"/>
                <w:sz w:val="28"/>
                <w:szCs w:val="28"/>
              </w:rPr>
            </w:pPr>
            <w:r>
              <w:rPr>
                <w:rFonts w:ascii="仿宋_GB2312" w:eastAsia="仿宋_GB2312" w:cs="Times New Roman"/>
                <w:kern w:val="0"/>
                <w:sz w:val="28"/>
                <w:szCs w:val="28"/>
              </w:rPr>
              <w:t>2.</w:t>
            </w:r>
            <w:r>
              <w:rPr>
                <w:rFonts w:hint="eastAsia" w:ascii="仿宋_GB2312" w:eastAsia="仿宋_GB2312" w:cs="Times New Roman"/>
                <w:kern w:val="0"/>
                <w:sz w:val="28"/>
                <w:szCs w:val="28"/>
              </w:rPr>
              <w:t>非存在硫化氢、一氧化碳等中毒风险的有限空间；</w:t>
            </w:r>
          </w:p>
          <w:p>
            <w:pPr>
              <w:spacing w:line="400" w:lineRule="exact"/>
              <w:rPr>
                <w:rFonts w:ascii="仿宋_GB2312" w:eastAsia="仿宋_GB2312" w:cs="Times New Roman"/>
                <w:kern w:val="0"/>
                <w:sz w:val="28"/>
                <w:szCs w:val="28"/>
              </w:rPr>
            </w:pPr>
            <w:r>
              <w:rPr>
                <w:rFonts w:hint="eastAsia" w:ascii="仿宋_GB2312" w:eastAsia="仿宋_GB2312" w:cs="Times New Roman"/>
                <w:kern w:val="0"/>
                <w:sz w:val="28"/>
                <w:szCs w:val="28"/>
              </w:rPr>
              <w:t>3.</w:t>
            </w:r>
            <w:r>
              <w:rPr>
                <w:rFonts w:hint="eastAsia" w:eastAsia="仿宋_GB2312" w:cs="Times New Roman"/>
                <w:kern w:val="0"/>
                <w:sz w:val="28"/>
                <w:szCs w:val="28"/>
              </w:rPr>
              <w:t>有证据证明已开展有限空间辨识工作</w:t>
            </w:r>
            <w:r>
              <w:rPr>
                <w:rFonts w:hint="eastAsia" w:ascii="仿宋_GB2312" w:eastAsia="仿宋_GB2312" w:cs="Times New Roman"/>
                <w:kern w:val="0"/>
                <w:sz w:val="28"/>
                <w:szCs w:val="28"/>
              </w:rPr>
              <w:t>，安全管理措施健全，有2处以下有限空间因概念理解原因未辨识出。</w:t>
            </w:r>
          </w:p>
        </w:tc>
        <w:tc>
          <w:tcPr>
            <w:tcW w:w="7371" w:type="dxa"/>
            <w:vAlign w:val="center"/>
          </w:tcPr>
          <w:p>
            <w:pPr>
              <w:widowControl/>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b/>
                <w:bCs/>
                <w:color w:val="000000" w:themeColor="text1"/>
                <w:kern w:val="0"/>
                <w:sz w:val="28"/>
                <w:szCs w:val="28"/>
                <w:lang w:val="zh-CN"/>
              </w:rPr>
              <w:t xml:space="preserve">《工贸企业有限空间作业安全管理与监督暂行规定》（国家安全监管总局令第59号）   </w:t>
            </w:r>
          </w:p>
          <w:p>
            <w:pPr>
              <w:widowControl/>
              <w:spacing w:line="360" w:lineRule="exact"/>
              <w:ind w:firstLine="560" w:firstLineChars="200"/>
              <w:jc w:val="left"/>
              <w:rPr>
                <w:rFonts w:ascii="仿宋_GB2312" w:hAnsi="仿宋" w:eastAsia="仿宋_GB2312" w:cs="Times New Roman"/>
                <w:color w:val="000000" w:themeColor="text1"/>
                <w:kern w:val="0"/>
                <w:sz w:val="28"/>
                <w:szCs w:val="28"/>
                <w:lang w:val="zh-CN"/>
              </w:rPr>
            </w:pPr>
            <w:r>
              <w:rPr>
                <w:rFonts w:hint="eastAsia" w:ascii="仿宋_GB2312" w:hAnsi="仿宋" w:eastAsia="仿宋_GB2312" w:cs="Times New Roman"/>
                <w:color w:val="000000" w:themeColor="text1"/>
                <w:kern w:val="0"/>
                <w:sz w:val="28"/>
                <w:szCs w:val="28"/>
                <w:lang w:val="zh-CN"/>
              </w:rPr>
              <w:t>第三十条  工贸企业有下列情形之一的，由县级以上安全生产监督管理部门责令限期改正，可以处3万元以下的罚款，对其直接负责的主管人员和其他直接责任人员处1万元以下的罚款：</w:t>
            </w:r>
          </w:p>
          <w:p>
            <w:pPr>
              <w:widowControl/>
              <w:spacing w:line="360" w:lineRule="exact"/>
              <w:jc w:val="left"/>
              <w:rPr>
                <w:rFonts w:ascii="仿宋_GB2312" w:hAnsi="仿宋" w:eastAsia="仿宋_GB2312" w:cs="Times New Roman"/>
                <w:b/>
                <w:bCs/>
                <w:color w:val="000000" w:themeColor="text1"/>
                <w:kern w:val="0"/>
                <w:sz w:val="28"/>
                <w:szCs w:val="28"/>
                <w:lang w:val="zh-CN"/>
              </w:rPr>
            </w:pPr>
            <w:r>
              <w:rPr>
                <w:rFonts w:hint="eastAsia" w:ascii="仿宋_GB2312" w:hAnsi="仿宋" w:eastAsia="仿宋_GB2312" w:cs="Times New Roman"/>
                <w:color w:val="000000" w:themeColor="text1"/>
                <w:kern w:val="0"/>
                <w:sz w:val="28"/>
                <w:szCs w:val="28"/>
                <w:lang w:val="zh-CN"/>
              </w:rPr>
              <w:t xml:space="preserve">    （一）未按照本规定对有限空间作业进行辨识、提出防范措施、建立有限空间管理台账的；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14</w:t>
            </w:r>
          </w:p>
        </w:tc>
        <w:tc>
          <w:tcPr>
            <w:tcW w:w="2126" w:type="dxa"/>
            <w:vAlign w:val="center"/>
          </w:tcPr>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rPr>
              <w:t>生产经营单位在应急预案编制前未按照规定开展风险辨识、评估和应急资源调查。</w:t>
            </w:r>
          </w:p>
        </w:tc>
        <w:tc>
          <w:tcPr>
            <w:tcW w:w="3686" w:type="dxa"/>
            <w:vAlign w:val="center"/>
          </w:tcPr>
          <w:p>
            <w:pPr>
              <w:spacing w:line="320" w:lineRule="exact"/>
              <w:jc w:val="left"/>
              <w:rPr>
                <w:rFonts w:ascii="仿宋_GB2312" w:eastAsia="仿宋_GB2312" w:cs="Times New Roman"/>
                <w:color w:val="000000" w:themeColor="text1"/>
                <w:kern w:val="0"/>
                <w:sz w:val="28"/>
                <w:szCs w:val="28"/>
              </w:rPr>
            </w:pPr>
            <w:r>
              <w:rPr>
                <w:rFonts w:hint="eastAsia" w:ascii="仿宋_GB2312" w:eastAsia="仿宋_GB2312" w:cs="Times New Roman"/>
                <w:color w:val="000000" w:themeColor="text1"/>
                <w:kern w:val="0"/>
                <w:sz w:val="28"/>
                <w:szCs w:val="28"/>
              </w:rPr>
              <w:t>1.初次违法且危害后果轻微并及时改正；</w:t>
            </w:r>
          </w:p>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ascii="仿宋_GB2312" w:eastAsia="仿宋_GB2312" w:cs="Times New Roman"/>
                <w:color w:val="000000" w:themeColor="text1"/>
                <w:kern w:val="0"/>
                <w:sz w:val="28"/>
                <w:szCs w:val="28"/>
              </w:rPr>
              <w:t>2.企业应急预案符合《生产安全事故应急预案管理办法》第八条的要求。</w:t>
            </w:r>
          </w:p>
        </w:tc>
        <w:tc>
          <w:tcPr>
            <w:tcW w:w="7371" w:type="dxa"/>
            <w:vAlign w:val="center"/>
          </w:tcPr>
          <w:p>
            <w:pPr>
              <w:spacing w:line="320" w:lineRule="exact"/>
              <w:ind w:firstLine="560" w:firstLineChars="200"/>
              <w:jc w:val="left"/>
              <w:rPr>
                <w:rFonts w:ascii="仿宋_GB2312" w:hAnsi="仿宋" w:eastAsia="仿宋_GB2312" w:cs="Times New Roman"/>
                <w:b/>
                <w:color w:val="000000" w:themeColor="text1"/>
                <w:kern w:val="0"/>
                <w:sz w:val="28"/>
                <w:szCs w:val="28"/>
                <w:shd w:val="clear" w:color="auto" w:fill="FFFFFF"/>
              </w:rPr>
            </w:pPr>
            <w:r>
              <w:rPr>
                <w:rFonts w:hint="eastAsia" w:ascii="仿宋_GB2312" w:hAnsi="仿宋" w:eastAsia="仿宋_GB2312" w:cs="Times New Roman"/>
                <w:b/>
                <w:color w:val="000000" w:themeColor="text1"/>
                <w:kern w:val="0"/>
                <w:sz w:val="28"/>
                <w:szCs w:val="28"/>
              </w:rPr>
              <w:t>《生产安全事故应急预案管理办法》（</w:t>
            </w:r>
            <w:r>
              <w:rPr>
                <w:rFonts w:hint="eastAsia" w:ascii="仿宋_GB2312" w:hAnsi="仿宋" w:eastAsia="仿宋_GB2312" w:cs="Times New Roman"/>
                <w:b/>
                <w:color w:val="000000" w:themeColor="text1"/>
                <w:kern w:val="0"/>
                <w:sz w:val="28"/>
                <w:szCs w:val="28"/>
                <w:shd w:val="clear" w:color="auto" w:fill="FFFFFF"/>
              </w:rPr>
              <w:t>应急管理部令第</w:t>
            </w:r>
            <w:r>
              <w:rPr>
                <w:rFonts w:hint="eastAsia" w:ascii="仿宋_GB2312" w:eastAsia="仿宋_GB2312" w:cs="Times New Roman"/>
                <w:b/>
                <w:color w:val="000000" w:themeColor="text1"/>
                <w:kern w:val="0"/>
                <w:sz w:val="28"/>
                <w:szCs w:val="28"/>
                <w:shd w:val="clear" w:color="auto" w:fill="FFFFFF"/>
              </w:rPr>
              <w:t>2</w:t>
            </w:r>
            <w:r>
              <w:rPr>
                <w:rFonts w:hint="eastAsia" w:ascii="仿宋_GB2312" w:hAnsi="仿宋" w:eastAsia="仿宋_GB2312" w:cs="Times New Roman"/>
                <w:b/>
                <w:color w:val="000000" w:themeColor="text1"/>
                <w:kern w:val="0"/>
                <w:sz w:val="28"/>
                <w:szCs w:val="28"/>
                <w:shd w:val="clear" w:color="auto" w:fill="FFFFFF"/>
              </w:rPr>
              <w:t>号）</w:t>
            </w:r>
          </w:p>
          <w:p>
            <w:pPr>
              <w:spacing w:line="320" w:lineRule="exact"/>
              <w:ind w:firstLine="560" w:firstLineChars="200"/>
              <w:jc w:val="left"/>
              <w:rPr>
                <w:rFonts w:ascii="仿宋_GB2312" w:eastAsia="仿宋_GB2312" w:cs="Times New Roman"/>
                <w:bCs/>
                <w:color w:val="000000" w:themeColor="text1"/>
                <w:kern w:val="0"/>
                <w:sz w:val="28"/>
                <w:szCs w:val="28"/>
              </w:rPr>
            </w:pPr>
            <w:r>
              <w:rPr>
                <w:rFonts w:hint="eastAsia" w:ascii="仿宋_GB2312" w:hAnsi="仿宋" w:eastAsia="仿宋_GB2312" w:cs="Times New Roman"/>
                <w:bCs/>
                <w:color w:val="000000" w:themeColor="text1"/>
                <w:kern w:val="0"/>
                <w:sz w:val="28"/>
                <w:szCs w:val="28"/>
              </w:rPr>
              <w:t>第四十五条  生产经营单位有下列情形之一的，由县级以上人民政府应急管理部门责令限期改正，可以处</w:t>
            </w:r>
            <w:r>
              <w:rPr>
                <w:rFonts w:hint="eastAsia" w:ascii="仿宋_GB2312" w:eastAsia="仿宋_GB2312" w:cs="Times New Roman"/>
                <w:bCs/>
                <w:color w:val="000000" w:themeColor="text1"/>
                <w:kern w:val="0"/>
                <w:sz w:val="28"/>
                <w:szCs w:val="28"/>
              </w:rPr>
              <w:t>1</w:t>
            </w:r>
            <w:r>
              <w:rPr>
                <w:rFonts w:hint="eastAsia" w:ascii="仿宋_GB2312" w:hAnsi="仿宋" w:eastAsia="仿宋_GB2312" w:cs="Times New Roman"/>
                <w:bCs/>
                <w:color w:val="000000" w:themeColor="text1"/>
                <w:kern w:val="0"/>
                <w:sz w:val="28"/>
                <w:szCs w:val="28"/>
              </w:rPr>
              <w:t>万元以上</w:t>
            </w:r>
            <w:r>
              <w:rPr>
                <w:rFonts w:hint="eastAsia" w:ascii="仿宋_GB2312" w:eastAsia="仿宋_GB2312" w:cs="Times New Roman"/>
                <w:bCs/>
                <w:color w:val="000000" w:themeColor="text1"/>
                <w:kern w:val="0"/>
                <w:sz w:val="28"/>
                <w:szCs w:val="28"/>
              </w:rPr>
              <w:t>3</w:t>
            </w:r>
            <w:r>
              <w:rPr>
                <w:rFonts w:hint="eastAsia" w:ascii="仿宋_GB2312" w:hAnsi="仿宋" w:eastAsia="仿宋_GB2312" w:cs="Times New Roman"/>
                <w:bCs/>
                <w:color w:val="000000" w:themeColor="text1"/>
                <w:kern w:val="0"/>
                <w:sz w:val="28"/>
                <w:szCs w:val="28"/>
              </w:rPr>
              <w:t>万元以下的罚款：</w:t>
            </w:r>
          </w:p>
          <w:p>
            <w:pPr>
              <w:spacing w:line="32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hint="eastAsia" w:ascii="仿宋_GB2312" w:hAnsi="仿宋" w:eastAsia="仿宋_GB2312" w:cs="Times New Roman"/>
                <w:bCs/>
                <w:color w:val="000000" w:themeColor="text1"/>
                <w:kern w:val="0"/>
                <w:sz w:val="28"/>
                <w:szCs w:val="28"/>
              </w:rPr>
              <w:t>（一）在应急预案编制前未按照规定开展风险辨识、评估和应急资源调查的；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15</w:t>
            </w:r>
          </w:p>
        </w:tc>
        <w:tc>
          <w:tcPr>
            <w:tcW w:w="2126" w:type="dxa"/>
            <w:vAlign w:val="center"/>
          </w:tcPr>
          <w:p>
            <w:pPr>
              <w:spacing w:line="320" w:lineRule="exact"/>
              <w:jc w:val="left"/>
              <w:rPr>
                <w:rFonts w:ascii="仿宋_GB2312" w:eastAsia="仿宋_GB2312" w:cs="Times New Roman"/>
                <w:color w:val="000000" w:themeColor="text1"/>
                <w:kern w:val="0"/>
                <w:sz w:val="28"/>
                <w:szCs w:val="28"/>
                <w:shd w:val="clear" w:color="auto" w:fill="FFFFFF"/>
              </w:rPr>
            </w:pPr>
            <w:r>
              <w:rPr>
                <w:rFonts w:eastAsia="仿宋_GB2312" w:cs="Times New Roman"/>
                <w:kern w:val="0"/>
                <w:sz w:val="28"/>
                <w:szCs w:val="28"/>
              </w:rPr>
              <w:t>生产经营单位未将事故风险的性质、影响范围和应急防范措施告知周边单位和人员</w:t>
            </w:r>
            <w:r>
              <w:rPr>
                <w:rFonts w:hint="eastAsia" w:eastAsia="仿宋_GB2312" w:cs="Times New Roman"/>
                <w:kern w:val="0"/>
                <w:sz w:val="28"/>
                <w:szCs w:val="28"/>
              </w:rPr>
              <w:t>。</w:t>
            </w:r>
          </w:p>
        </w:tc>
        <w:tc>
          <w:tcPr>
            <w:tcW w:w="3686" w:type="dxa"/>
          </w:tcPr>
          <w:p>
            <w:pPr>
              <w:spacing w:line="40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320" w:lineRule="exact"/>
              <w:jc w:val="left"/>
              <w:rPr>
                <w:rFonts w:eastAsia="仿宋_GB2312" w:cs="Times New Roman"/>
                <w:kern w:val="0"/>
                <w:sz w:val="28"/>
                <w:szCs w:val="28"/>
              </w:rPr>
            </w:pPr>
            <w:r>
              <w:rPr>
                <w:rFonts w:hint="eastAsia" w:eastAsia="仿宋_GB2312" w:cs="Times New Roman"/>
                <w:kern w:val="0"/>
                <w:sz w:val="28"/>
                <w:szCs w:val="28"/>
              </w:rPr>
              <w:t>2.矿山、金属冶炼、危险化学品企业、烟花爆竹企业除外；</w:t>
            </w:r>
          </w:p>
          <w:p>
            <w:pPr>
              <w:spacing w:line="320" w:lineRule="exact"/>
              <w:jc w:val="left"/>
              <w:rPr>
                <w:rFonts w:eastAsia="仿宋_GB2312" w:cs="Times New Roman"/>
                <w:kern w:val="0"/>
                <w:sz w:val="28"/>
                <w:szCs w:val="28"/>
                <w:highlight w:val="yellow"/>
              </w:rPr>
            </w:pPr>
            <w:r>
              <w:rPr>
                <w:rFonts w:hint="eastAsia" w:eastAsia="仿宋_GB2312" w:cs="Times New Roman"/>
                <w:kern w:val="0"/>
                <w:sz w:val="28"/>
                <w:szCs w:val="28"/>
              </w:rPr>
              <w:t>3</w:t>
            </w:r>
            <w:r>
              <w:rPr>
                <w:rFonts w:eastAsia="仿宋_GB2312" w:cs="Times New Roman"/>
                <w:kern w:val="0"/>
                <w:sz w:val="28"/>
                <w:szCs w:val="28"/>
              </w:rPr>
              <w:t>.</w:t>
            </w:r>
            <w:r>
              <w:rPr>
                <w:rFonts w:hint="eastAsia" w:eastAsia="仿宋_GB2312" w:cs="Times New Roman"/>
                <w:kern w:val="0"/>
                <w:sz w:val="28"/>
                <w:szCs w:val="28"/>
              </w:rPr>
              <w:t>周边无宾馆、商场、学校等公众聚集场所或人员密集场所。</w:t>
            </w:r>
          </w:p>
        </w:tc>
        <w:tc>
          <w:tcPr>
            <w:tcW w:w="7371" w:type="dxa"/>
          </w:tcPr>
          <w:p>
            <w:pPr>
              <w:spacing w:line="320" w:lineRule="exact"/>
              <w:ind w:firstLine="560" w:firstLineChars="200"/>
              <w:jc w:val="left"/>
              <w:rPr>
                <w:rFonts w:ascii="仿宋_GB2312" w:hAnsi="仿宋" w:eastAsia="仿宋_GB2312" w:cs="Times New Roman"/>
                <w:b/>
                <w:color w:val="000000" w:themeColor="text1"/>
                <w:kern w:val="0"/>
                <w:sz w:val="28"/>
                <w:szCs w:val="28"/>
                <w:shd w:val="clear" w:color="auto" w:fill="FFFFFF"/>
              </w:rPr>
            </w:pPr>
            <w:r>
              <w:rPr>
                <w:rFonts w:hint="eastAsia" w:ascii="仿宋_GB2312" w:hAnsi="仿宋" w:eastAsia="仿宋_GB2312" w:cs="Times New Roman"/>
                <w:b/>
                <w:color w:val="000000" w:themeColor="text1"/>
                <w:kern w:val="0"/>
                <w:sz w:val="28"/>
                <w:szCs w:val="28"/>
              </w:rPr>
              <w:t>《生产安全事故应急预案管理办法》（</w:t>
            </w:r>
            <w:r>
              <w:rPr>
                <w:rFonts w:hint="eastAsia" w:ascii="仿宋_GB2312" w:hAnsi="仿宋" w:eastAsia="仿宋_GB2312" w:cs="Times New Roman"/>
                <w:b/>
                <w:color w:val="000000" w:themeColor="text1"/>
                <w:kern w:val="0"/>
                <w:sz w:val="28"/>
                <w:szCs w:val="28"/>
                <w:shd w:val="clear" w:color="auto" w:fill="FFFFFF"/>
              </w:rPr>
              <w:t>应急管理部令第</w:t>
            </w:r>
            <w:r>
              <w:rPr>
                <w:rFonts w:hint="eastAsia" w:ascii="仿宋_GB2312" w:eastAsia="仿宋_GB2312" w:cs="Times New Roman"/>
                <w:b/>
                <w:color w:val="000000" w:themeColor="text1"/>
                <w:kern w:val="0"/>
                <w:sz w:val="28"/>
                <w:szCs w:val="28"/>
                <w:shd w:val="clear" w:color="auto" w:fill="FFFFFF"/>
              </w:rPr>
              <w:t>2</w:t>
            </w:r>
            <w:r>
              <w:rPr>
                <w:rFonts w:hint="eastAsia" w:ascii="仿宋_GB2312" w:hAnsi="仿宋" w:eastAsia="仿宋_GB2312" w:cs="Times New Roman"/>
                <w:b/>
                <w:color w:val="000000" w:themeColor="text1"/>
                <w:kern w:val="0"/>
                <w:sz w:val="28"/>
                <w:szCs w:val="28"/>
                <w:shd w:val="clear" w:color="auto" w:fill="FFFFFF"/>
              </w:rPr>
              <w:t>号）</w:t>
            </w:r>
          </w:p>
          <w:p>
            <w:pPr>
              <w:spacing w:line="320" w:lineRule="exact"/>
              <w:ind w:firstLine="560" w:firstLineChars="200"/>
              <w:jc w:val="left"/>
              <w:rPr>
                <w:rFonts w:eastAsia="仿宋_GB2312" w:cs="Times New Roman"/>
                <w:kern w:val="0"/>
                <w:sz w:val="28"/>
                <w:szCs w:val="28"/>
              </w:rPr>
            </w:pPr>
            <w:r>
              <w:rPr>
                <w:rFonts w:eastAsia="仿宋_GB2312" w:cs="Times New Roman"/>
                <w:kern w:val="0"/>
                <w:sz w:val="28"/>
                <w:szCs w:val="28"/>
              </w:rPr>
              <w:t>第四十五条</w:t>
            </w:r>
            <w:r>
              <w:rPr>
                <w:rFonts w:hint="eastAsia" w:eastAsia="仿宋_GB2312" w:cs="Times New Roman"/>
                <w:kern w:val="0"/>
                <w:sz w:val="28"/>
                <w:szCs w:val="28"/>
              </w:rPr>
              <w:t xml:space="preserve">  </w:t>
            </w:r>
            <w:r>
              <w:rPr>
                <w:rFonts w:eastAsia="仿宋_GB2312" w:cs="Times New Roman"/>
                <w:kern w:val="0"/>
                <w:sz w:val="28"/>
                <w:szCs w:val="28"/>
              </w:rPr>
              <w:t>生产经营单位有下列情形之一的，由县级以上人民政府应急管理部门责令限期改正，可以处1万元以上3万元以下的罚款：</w:t>
            </w:r>
          </w:p>
          <w:p>
            <w:pPr>
              <w:spacing w:line="32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eastAsia="仿宋_GB2312" w:cs="Times New Roman"/>
                <w:kern w:val="0"/>
                <w:sz w:val="28"/>
                <w:szCs w:val="28"/>
              </w:rPr>
              <w:t>（三）事故风险可能影响周边单位、人员的，未将事故风险的性质、影响范围和应急防范措施告知周边单位和人员的；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16</w:t>
            </w:r>
          </w:p>
        </w:tc>
        <w:tc>
          <w:tcPr>
            <w:tcW w:w="2126" w:type="dxa"/>
            <w:vAlign w:val="center"/>
          </w:tcPr>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工业企业未建立安全风险辨识管控制度。</w:t>
            </w:r>
          </w:p>
        </w:tc>
        <w:tc>
          <w:tcPr>
            <w:tcW w:w="3686" w:type="dxa"/>
          </w:tcPr>
          <w:p>
            <w:pPr>
              <w:spacing w:line="40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400" w:lineRule="exact"/>
              <w:rPr>
                <w:rFonts w:eastAsia="仿宋_GB2312" w:cs="Times New Roman"/>
                <w:kern w:val="0"/>
                <w:sz w:val="28"/>
                <w:szCs w:val="28"/>
              </w:rPr>
            </w:pPr>
            <w:r>
              <w:rPr>
                <w:rFonts w:eastAsia="仿宋_GB2312" w:cs="Times New Roman"/>
                <w:kern w:val="0"/>
                <w:sz w:val="28"/>
                <w:szCs w:val="28"/>
              </w:rPr>
              <w:t>2.已通过全省统一的安全风险网上报告系统按期、如实报告较大以上安全风险</w:t>
            </w:r>
            <w:r>
              <w:rPr>
                <w:rFonts w:hint="eastAsia" w:eastAsia="仿宋_GB2312" w:cs="Times New Roman"/>
                <w:kern w:val="0"/>
                <w:sz w:val="28"/>
                <w:szCs w:val="28"/>
              </w:rPr>
              <w:t>；</w:t>
            </w:r>
          </w:p>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eastAsia="仿宋_GB2312" w:cs="Times New Roman"/>
                <w:kern w:val="0"/>
                <w:sz w:val="28"/>
                <w:szCs w:val="28"/>
              </w:rPr>
              <w:t>3.有证据证明已开展安全风险辨识管控工作。</w:t>
            </w:r>
          </w:p>
        </w:tc>
        <w:tc>
          <w:tcPr>
            <w:tcW w:w="7371" w:type="dxa"/>
            <w:vAlign w:val="center"/>
          </w:tcPr>
          <w:p>
            <w:pPr>
              <w:spacing w:line="32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hint="eastAsia" w:ascii="仿宋_GB2312" w:hAnsi="仿宋" w:eastAsia="仿宋_GB2312" w:cs="Times New Roman"/>
                <w:b/>
                <w:bCs/>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b/>
                <w:bCs/>
                <w:color w:val="000000" w:themeColor="text1"/>
                <w:kern w:val="0"/>
                <w:sz w:val="28"/>
                <w:szCs w:val="28"/>
                <w:shd w:val="clear" w:color="auto" w:fill="FFFFFF"/>
              </w:rPr>
              <w:t>140</w:t>
            </w:r>
            <w:r>
              <w:rPr>
                <w:rFonts w:hint="eastAsia" w:ascii="仿宋_GB2312" w:hAnsi="仿宋" w:eastAsia="仿宋_GB2312" w:cs="Times New Roman"/>
                <w:b/>
                <w:bCs/>
                <w:color w:val="000000" w:themeColor="text1"/>
                <w:kern w:val="0"/>
                <w:sz w:val="28"/>
                <w:szCs w:val="28"/>
                <w:shd w:val="clear" w:color="auto" w:fill="FFFFFF"/>
              </w:rPr>
              <w:t>号）</w:t>
            </w:r>
          </w:p>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第三十四条  企业违反本规定有下列情形之一的，由负有安全生产监督管理职责的部门责令限期改正，可以处五万元以下的罚款：</w:t>
            </w:r>
          </w:p>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（一）未建立安全风险辨识管控制度的；</w:t>
            </w:r>
            <w:bookmarkStart w:id="0" w:name="No115_Z5T34K1X5"/>
            <w:bookmarkEnd w:id="0"/>
            <w:bookmarkStart w:id="1" w:name="No114_Z5T34K1X4"/>
            <w:bookmarkEnd w:id="1"/>
            <w:bookmarkStart w:id="2" w:name="No112_Z5T34K1X2"/>
            <w:bookmarkEnd w:id="2"/>
            <w:bookmarkStart w:id="3" w:name="No113_Z5T34K1X3"/>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17</w:t>
            </w:r>
          </w:p>
        </w:tc>
        <w:tc>
          <w:tcPr>
            <w:tcW w:w="2126" w:type="dxa"/>
            <w:vAlign w:val="center"/>
          </w:tcPr>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工业企业未建立安全风险管控清单。</w:t>
            </w:r>
          </w:p>
        </w:tc>
        <w:tc>
          <w:tcPr>
            <w:tcW w:w="3686" w:type="dxa"/>
            <w:vAlign w:val="center"/>
          </w:tcPr>
          <w:p>
            <w:pPr>
              <w:spacing w:line="40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400" w:lineRule="exact"/>
              <w:rPr>
                <w:rFonts w:eastAsia="仿宋_GB2312" w:cs="Times New Roman"/>
                <w:kern w:val="0"/>
                <w:sz w:val="28"/>
                <w:szCs w:val="28"/>
              </w:rPr>
            </w:pPr>
            <w:r>
              <w:rPr>
                <w:rFonts w:eastAsia="仿宋_GB2312" w:cs="Times New Roman"/>
                <w:kern w:val="0"/>
                <w:sz w:val="28"/>
                <w:szCs w:val="28"/>
              </w:rPr>
              <w:t>2.已通过全省统一的安全风险网上报告系统按期、如实报告较大以上安全风险</w:t>
            </w:r>
            <w:r>
              <w:rPr>
                <w:rFonts w:hint="eastAsia" w:eastAsia="仿宋_GB2312" w:cs="Times New Roman"/>
                <w:kern w:val="0"/>
                <w:sz w:val="28"/>
                <w:szCs w:val="28"/>
              </w:rPr>
              <w:t>；</w:t>
            </w:r>
          </w:p>
          <w:p>
            <w:pPr>
              <w:spacing w:line="320" w:lineRule="exact"/>
              <w:jc w:val="left"/>
              <w:rPr>
                <w:rFonts w:ascii="仿宋_GB2312" w:hAnsi="仿宋" w:eastAsia="仿宋_GB2312" w:cs="Times New Roman"/>
                <w:color w:val="000000" w:themeColor="text1"/>
                <w:kern w:val="0"/>
                <w:sz w:val="28"/>
                <w:szCs w:val="28"/>
              </w:rPr>
            </w:pPr>
            <w:r>
              <w:rPr>
                <w:rFonts w:hint="eastAsia" w:eastAsia="仿宋_GB2312" w:cs="Times New Roman"/>
                <w:kern w:val="0"/>
                <w:sz w:val="28"/>
                <w:szCs w:val="28"/>
              </w:rPr>
              <w:t>3.</w:t>
            </w:r>
            <w:r>
              <w:rPr>
                <w:rFonts w:hint="eastAsia" w:ascii="仿宋_GB2312" w:hAnsi="仿宋" w:eastAsia="仿宋_GB2312" w:cs="Times New Roman"/>
                <w:color w:val="000000" w:themeColor="text1"/>
                <w:kern w:val="0"/>
                <w:sz w:val="28"/>
                <w:szCs w:val="28"/>
              </w:rPr>
              <w:t>有证据证明已开展安全风险管控工作。</w:t>
            </w:r>
          </w:p>
        </w:tc>
        <w:tc>
          <w:tcPr>
            <w:tcW w:w="7371" w:type="dxa"/>
            <w:vAlign w:val="center"/>
          </w:tcPr>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b/>
                <w:bCs/>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b/>
                <w:bCs/>
                <w:color w:val="000000" w:themeColor="text1"/>
                <w:kern w:val="0"/>
                <w:sz w:val="28"/>
                <w:szCs w:val="28"/>
                <w:shd w:val="clear" w:color="auto" w:fill="FFFFFF"/>
              </w:rPr>
              <w:t>140</w:t>
            </w:r>
            <w:r>
              <w:rPr>
                <w:rFonts w:hint="eastAsia" w:ascii="仿宋_GB2312" w:hAnsi="仿宋" w:eastAsia="仿宋_GB2312" w:cs="Times New Roman"/>
                <w:b/>
                <w:bCs/>
                <w:color w:val="000000" w:themeColor="text1"/>
                <w:kern w:val="0"/>
                <w:sz w:val="28"/>
                <w:szCs w:val="28"/>
                <w:shd w:val="clear" w:color="auto" w:fill="FFFFFF"/>
              </w:rPr>
              <w:t>号）</w:t>
            </w:r>
          </w:p>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第三十四条  企业违反本规定有下列情形之一的，由负有安全生产监督管理职责的部门责令限期改正，可以处五万元以下的罚款：</w:t>
            </w:r>
          </w:p>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（二）未建立安全风险管控清单的；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18</w:t>
            </w:r>
          </w:p>
        </w:tc>
        <w:tc>
          <w:tcPr>
            <w:tcW w:w="2126" w:type="dxa"/>
            <w:vAlign w:val="center"/>
          </w:tcPr>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工业企业未将安全风险管控纳入年度安全生产教育培训计划。</w:t>
            </w:r>
          </w:p>
        </w:tc>
        <w:tc>
          <w:tcPr>
            <w:tcW w:w="3686" w:type="dxa"/>
            <w:vAlign w:val="center"/>
          </w:tcPr>
          <w:p>
            <w:pPr>
              <w:spacing w:line="40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320" w:lineRule="exact"/>
              <w:jc w:val="left"/>
              <w:rPr>
                <w:rFonts w:ascii="仿宋_GB2312" w:eastAsia="仿宋_GB2312" w:cs="Times New Roman"/>
                <w:color w:val="000000" w:themeColor="text1"/>
                <w:kern w:val="0"/>
                <w:sz w:val="28"/>
                <w:szCs w:val="28"/>
                <w:shd w:val="clear" w:color="auto" w:fill="FFFFFF"/>
              </w:rPr>
            </w:pPr>
            <w:r>
              <w:rPr>
                <w:rFonts w:eastAsia="仿宋_GB2312" w:cs="Times New Roman"/>
                <w:kern w:val="0"/>
                <w:sz w:val="28"/>
                <w:szCs w:val="28"/>
              </w:rPr>
              <w:t>2.</w:t>
            </w:r>
            <w:r>
              <w:rPr>
                <w:rFonts w:hint="eastAsia" w:eastAsia="仿宋_GB2312" w:cs="Times New Roman"/>
                <w:kern w:val="0"/>
                <w:sz w:val="28"/>
                <w:szCs w:val="28"/>
              </w:rPr>
              <w:t>未</w:t>
            </w:r>
            <w:r>
              <w:rPr>
                <w:rFonts w:eastAsia="仿宋_GB2312" w:cs="Times New Roman"/>
                <w:kern w:val="0"/>
                <w:sz w:val="28"/>
                <w:szCs w:val="28"/>
              </w:rPr>
              <w:t>将安全风险管控纳入年度安全生产教育培训计划</w:t>
            </w:r>
            <w:r>
              <w:rPr>
                <w:rFonts w:hint="eastAsia" w:eastAsia="仿宋_GB2312" w:cs="Times New Roman"/>
                <w:kern w:val="0"/>
                <w:sz w:val="28"/>
                <w:szCs w:val="28"/>
              </w:rPr>
              <w:t>，但</w:t>
            </w:r>
            <w:r>
              <w:rPr>
                <w:rFonts w:hint="eastAsia" w:ascii="仿宋_GB2312" w:hAnsi="仿宋" w:eastAsia="仿宋_GB2312" w:cs="Times New Roman"/>
                <w:color w:val="000000" w:themeColor="text1"/>
                <w:kern w:val="0"/>
                <w:sz w:val="28"/>
                <w:szCs w:val="28"/>
              </w:rPr>
              <w:t>有证据证明</w:t>
            </w:r>
            <w:r>
              <w:rPr>
                <w:rFonts w:hint="eastAsia" w:eastAsia="仿宋_GB2312" w:cs="Times New Roman"/>
                <w:kern w:val="0"/>
                <w:sz w:val="28"/>
                <w:szCs w:val="28"/>
              </w:rPr>
              <w:t>已</w:t>
            </w:r>
            <w:r>
              <w:rPr>
                <w:rFonts w:eastAsia="仿宋_GB2312" w:cs="Times New Roman"/>
                <w:kern w:val="0"/>
                <w:sz w:val="28"/>
                <w:szCs w:val="28"/>
              </w:rPr>
              <w:t>组织实施</w:t>
            </w:r>
            <w:r>
              <w:rPr>
                <w:rFonts w:hint="eastAsia" w:eastAsia="仿宋_GB2312" w:cs="Times New Roman"/>
                <w:kern w:val="0"/>
                <w:sz w:val="28"/>
                <w:szCs w:val="28"/>
              </w:rPr>
              <w:t>。</w:t>
            </w:r>
          </w:p>
        </w:tc>
        <w:tc>
          <w:tcPr>
            <w:tcW w:w="7371" w:type="dxa"/>
            <w:vAlign w:val="center"/>
          </w:tcPr>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b/>
                <w:bCs/>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b/>
                <w:bCs/>
                <w:color w:val="000000" w:themeColor="text1"/>
                <w:kern w:val="0"/>
                <w:sz w:val="28"/>
                <w:szCs w:val="28"/>
                <w:shd w:val="clear" w:color="auto" w:fill="FFFFFF"/>
              </w:rPr>
              <w:t>140</w:t>
            </w:r>
            <w:r>
              <w:rPr>
                <w:rFonts w:hint="eastAsia" w:ascii="仿宋_GB2312" w:hAnsi="仿宋" w:eastAsia="仿宋_GB2312" w:cs="Times New Roman"/>
                <w:b/>
                <w:bCs/>
                <w:color w:val="000000" w:themeColor="text1"/>
                <w:kern w:val="0"/>
                <w:sz w:val="28"/>
                <w:szCs w:val="28"/>
                <w:shd w:val="clear" w:color="auto" w:fill="FFFFFF"/>
              </w:rPr>
              <w:t>号）</w:t>
            </w:r>
          </w:p>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第三十四条  企业违反本规定有下列情形之一的，由负有安全生产监督管理职责的部门责令限期改正，可以处五万元以下的罚款：</w:t>
            </w:r>
          </w:p>
          <w:p>
            <w:pPr>
              <w:spacing w:line="32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（四）未将安全风险管控纳入年度安全生产教育培训计划或者未组织实施的；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19</w:t>
            </w:r>
          </w:p>
        </w:tc>
        <w:tc>
          <w:tcPr>
            <w:tcW w:w="2126" w:type="dxa"/>
            <w:vAlign w:val="center"/>
          </w:tcPr>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rPr>
              <w:t>工业企业</w:t>
            </w:r>
            <w:r>
              <w:rPr>
                <w:rFonts w:hint="eastAsia" w:ascii="仿宋_GB2312" w:hAnsi="仿宋" w:eastAsia="仿宋_GB2312" w:cs="Times New Roman"/>
                <w:color w:val="000000" w:themeColor="text1"/>
                <w:kern w:val="0"/>
                <w:sz w:val="28"/>
                <w:szCs w:val="28"/>
                <w:shd w:val="clear" w:color="auto" w:fill="FFFFFF"/>
              </w:rPr>
              <w:t>未建立安全风险档案。</w:t>
            </w:r>
          </w:p>
        </w:tc>
        <w:tc>
          <w:tcPr>
            <w:tcW w:w="3686" w:type="dxa"/>
            <w:vAlign w:val="center"/>
          </w:tcPr>
          <w:p>
            <w:pPr>
              <w:spacing w:line="400" w:lineRule="exact"/>
              <w:rPr>
                <w:rFonts w:eastAsia="仿宋_GB2312" w:cs="Times New Roman"/>
                <w:kern w:val="0"/>
                <w:sz w:val="28"/>
                <w:szCs w:val="28"/>
              </w:rPr>
            </w:pPr>
            <w:r>
              <w:rPr>
                <w:rFonts w:eastAsia="仿宋_GB2312" w:cs="Times New Roman"/>
                <w:kern w:val="0"/>
                <w:sz w:val="28"/>
                <w:szCs w:val="28"/>
              </w:rPr>
              <w:t>1.初次违法且危害后果轻微并及时改正；</w:t>
            </w:r>
          </w:p>
          <w:p>
            <w:pPr>
              <w:spacing w:line="400" w:lineRule="exact"/>
              <w:rPr>
                <w:rFonts w:eastAsia="仿宋_GB2312" w:cs="Times New Roman"/>
                <w:kern w:val="0"/>
                <w:sz w:val="28"/>
                <w:szCs w:val="28"/>
              </w:rPr>
            </w:pPr>
            <w:r>
              <w:rPr>
                <w:rFonts w:eastAsia="仿宋_GB2312" w:cs="Times New Roman"/>
                <w:kern w:val="0"/>
                <w:sz w:val="28"/>
                <w:szCs w:val="28"/>
              </w:rPr>
              <w:t>2.已通过全省统一的安全风险网上报告系统按期、如实报告较大以上安全风险</w:t>
            </w:r>
            <w:r>
              <w:rPr>
                <w:rFonts w:hint="eastAsia" w:eastAsia="仿宋_GB2312" w:cs="Times New Roman"/>
                <w:kern w:val="0"/>
                <w:sz w:val="28"/>
                <w:szCs w:val="28"/>
              </w:rPr>
              <w:t>；</w:t>
            </w:r>
          </w:p>
          <w:p>
            <w:pPr>
              <w:spacing w:line="320" w:lineRule="exact"/>
              <w:jc w:val="left"/>
              <w:rPr>
                <w:rFonts w:ascii="仿宋_GB2312" w:eastAsia="仿宋_GB2312" w:cs="Times New Roman"/>
                <w:color w:val="000000" w:themeColor="text1"/>
                <w:kern w:val="0"/>
                <w:sz w:val="28"/>
                <w:szCs w:val="28"/>
                <w:shd w:val="clear" w:color="auto" w:fill="FFFFFF"/>
              </w:rPr>
            </w:pPr>
            <w:r>
              <w:rPr>
                <w:rFonts w:hint="eastAsia" w:eastAsia="仿宋_GB2312" w:cs="Times New Roman"/>
                <w:kern w:val="0"/>
                <w:sz w:val="28"/>
                <w:szCs w:val="28"/>
              </w:rPr>
              <w:t>3.</w:t>
            </w:r>
            <w:r>
              <w:rPr>
                <w:rFonts w:hint="eastAsia" w:ascii="仿宋_GB2312" w:hAnsi="仿宋" w:eastAsia="仿宋_GB2312" w:cs="Times New Roman"/>
                <w:color w:val="000000" w:themeColor="text1"/>
                <w:kern w:val="0"/>
                <w:sz w:val="28"/>
                <w:szCs w:val="28"/>
              </w:rPr>
              <w:t>有证据证明</w:t>
            </w:r>
            <w:r>
              <w:rPr>
                <w:rFonts w:hint="eastAsia" w:eastAsia="仿宋_GB2312" w:cs="Times New Roman"/>
                <w:kern w:val="0"/>
                <w:sz w:val="28"/>
                <w:szCs w:val="28"/>
              </w:rPr>
              <w:t>已开展安全风险辨识管控工作。</w:t>
            </w:r>
          </w:p>
        </w:tc>
        <w:tc>
          <w:tcPr>
            <w:tcW w:w="7371" w:type="dxa"/>
            <w:vAlign w:val="center"/>
          </w:tcPr>
          <w:p>
            <w:pPr>
              <w:spacing w:line="32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hint="eastAsia" w:ascii="仿宋_GB2312" w:hAnsi="仿宋" w:eastAsia="仿宋_GB2312" w:cs="Times New Roman"/>
                <w:b/>
                <w:bCs/>
                <w:color w:val="000000" w:themeColor="text1"/>
                <w:kern w:val="0"/>
                <w:sz w:val="28"/>
                <w:szCs w:val="28"/>
                <w:shd w:val="clear" w:color="auto" w:fill="FFFFFF"/>
              </w:rPr>
              <w:t>《江苏省工业企业安全生产风险报告规定》（江苏省人民政府令第</w:t>
            </w:r>
            <w:r>
              <w:rPr>
                <w:rFonts w:hint="eastAsia" w:ascii="仿宋_GB2312" w:eastAsia="仿宋_GB2312" w:cs="Times New Roman"/>
                <w:b/>
                <w:bCs/>
                <w:color w:val="000000" w:themeColor="text1"/>
                <w:kern w:val="0"/>
                <w:sz w:val="28"/>
                <w:szCs w:val="28"/>
                <w:shd w:val="clear" w:color="auto" w:fill="FFFFFF"/>
              </w:rPr>
              <w:t>140</w:t>
            </w:r>
            <w:r>
              <w:rPr>
                <w:rFonts w:hint="eastAsia" w:ascii="仿宋_GB2312" w:hAnsi="仿宋" w:eastAsia="仿宋_GB2312" w:cs="Times New Roman"/>
                <w:b/>
                <w:bCs/>
                <w:color w:val="000000" w:themeColor="text1"/>
                <w:kern w:val="0"/>
                <w:sz w:val="28"/>
                <w:szCs w:val="28"/>
                <w:shd w:val="clear" w:color="auto" w:fill="FFFFFF"/>
              </w:rPr>
              <w:t>号）</w:t>
            </w:r>
          </w:p>
          <w:p>
            <w:pPr>
              <w:spacing w:line="320" w:lineRule="exact"/>
              <w:ind w:firstLine="560" w:firstLineChars="200"/>
              <w:jc w:val="left"/>
              <w:rPr>
                <w:rFonts w:ascii="仿宋_GB2312" w:eastAsia="仿宋_GB2312" w:cs="Times New Roman"/>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第三十四条  企业违反本规定有下列情形之一的，由负有安全生产监督管理职责的部门责令限期改正，可以处五万元以下的罚款：</w:t>
            </w:r>
          </w:p>
          <w:p>
            <w:pPr>
              <w:spacing w:line="320" w:lineRule="exact"/>
              <w:ind w:firstLine="560" w:firstLineChars="200"/>
              <w:jc w:val="left"/>
              <w:rPr>
                <w:rFonts w:ascii="仿宋_GB2312" w:eastAsia="仿宋_GB2312" w:cs="Times New Roman"/>
                <w:b/>
                <w:bCs/>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（五）未建立安全风险档案的。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20" w:lineRule="exact"/>
              <w:jc w:val="center"/>
              <w:rPr>
                <w:rFonts w:ascii="仿宋_GB2312" w:eastAsia="仿宋_GB2312" w:cs="Times New Roman"/>
                <w:color w:val="000000" w:themeColor="text1"/>
                <w:kern w:val="0"/>
                <w:sz w:val="28"/>
                <w:szCs w:val="28"/>
              </w:rPr>
            </w:pPr>
            <w:r>
              <w:rPr>
                <w:rFonts w:ascii="仿宋_GB2312" w:eastAsia="仿宋_GB2312" w:cs="Times New Roman"/>
                <w:color w:val="000000" w:themeColor="text1"/>
                <w:kern w:val="0"/>
                <w:sz w:val="28"/>
                <w:szCs w:val="28"/>
              </w:rPr>
              <w:t>20</w:t>
            </w:r>
          </w:p>
        </w:tc>
        <w:tc>
          <w:tcPr>
            <w:tcW w:w="2126" w:type="dxa"/>
            <w:vAlign w:val="center"/>
          </w:tcPr>
          <w:p>
            <w:pPr>
              <w:spacing w:line="320" w:lineRule="exact"/>
              <w:jc w:val="left"/>
              <w:rPr>
                <w:rFonts w:ascii="仿宋_GB2312" w:hAnsi="仿宋" w:eastAsia="仿宋_GB2312" w:cs="Times New Roman"/>
                <w:color w:val="000000" w:themeColor="text1"/>
                <w:kern w:val="0"/>
                <w:sz w:val="28"/>
                <w:szCs w:val="28"/>
              </w:rPr>
            </w:pPr>
            <w:r>
              <w:rPr>
                <w:rFonts w:hint="eastAsia" w:ascii="仿宋_GB2312" w:hAnsi="仿宋" w:eastAsia="仿宋_GB2312" w:cs="Times New Roman"/>
                <w:color w:val="000000" w:themeColor="text1"/>
                <w:kern w:val="0"/>
                <w:sz w:val="28"/>
                <w:szCs w:val="28"/>
              </w:rPr>
              <w:t>生产经营单位主要负责人未履行每季度至少组织并参加一次安全生产全面检查，研究分析和解决安全生产存在问题。</w:t>
            </w:r>
          </w:p>
        </w:tc>
        <w:tc>
          <w:tcPr>
            <w:tcW w:w="3686" w:type="dxa"/>
            <w:vAlign w:val="center"/>
          </w:tcPr>
          <w:p>
            <w:pPr>
              <w:spacing w:line="400" w:lineRule="exact"/>
              <w:rPr>
                <w:rFonts w:eastAsia="仿宋_GB2312" w:cs="Times New Roman"/>
                <w:kern w:val="0"/>
                <w:sz w:val="28"/>
                <w:szCs w:val="28"/>
              </w:rPr>
            </w:pPr>
            <w:r>
              <w:rPr>
                <w:rFonts w:eastAsia="仿宋_GB2312" w:cs="Times New Roman"/>
                <w:kern w:val="0"/>
                <w:sz w:val="28"/>
                <w:szCs w:val="28"/>
              </w:rPr>
              <w:t>初次违法且危害后果轻微并及时改正</w:t>
            </w:r>
            <w:r>
              <w:rPr>
                <w:rFonts w:hint="eastAsia" w:eastAsia="仿宋_GB2312" w:cs="Times New Roman"/>
                <w:kern w:val="0"/>
                <w:sz w:val="28"/>
                <w:szCs w:val="28"/>
              </w:rPr>
              <w:t>。</w:t>
            </w:r>
          </w:p>
        </w:tc>
        <w:tc>
          <w:tcPr>
            <w:tcW w:w="7371" w:type="dxa"/>
            <w:vAlign w:val="center"/>
          </w:tcPr>
          <w:p>
            <w:pPr>
              <w:spacing w:line="320" w:lineRule="exact"/>
              <w:ind w:firstLine="560" w:firstLineChars="200"/>
              <w:jc w:val="left"/>
              <w:rPr>
                <w:rFonts w:ascii="仿宋_GB2312" w:hAnsi="仿宋" w:eastAsia="仿宋_GB2312" w:cs="Times New Roman"/>
                <w:b/>
                <w:color w:val="000000" w:themeColor="text1"/>
                <w:kern w:val="0"/>
                <w:sz w:val="28"/>
                <w:szCs w:val="28"/>
                <w:shd w:val="clear" w:color="auto" w:fill="FFFFFF"/>
              </w:rPr>
            </w:pPr>
            <w:r>
              <w:rPr>
                <w:rFonts w:hint="eastAsia" w:ascii="仿宋_GB2312" w:hAnsi="仿宋" w:eastAsia="仿宋_GB2312" w:cs="Times New Roman"/>
                <w:b/>
                <w:color w:val="000000" w:themeColor="text1"/>
                <w:kern w:val="0"/>
                <w:sz w:val="28"/>
                <w:szCs w:val="28"/>
                <w:shd w:val="clear" w:color="auto" w:fill="FFFFFF"/>
              </w:rPr>
              <w:t>《江苏省安全生产条例》</w:t>
            </w:r>
          </w:p>
          <w:p>
            <w:pPr>
              <w:spacing w:line="320" w:lineRule="exact"/>
              <w:ind w:firstLine="560" w:firstLineChars="200"/>
              <w:jc w:val="left"/>
              <w:rPr>
                <w:rFonts w:ascii="仿宋_GB2312" w:hAnsi="仿宋" w:eastAsia="仿宋_GB2312" w:cs="Times New Roman"/>
                <w:b/>
                <w:bCs/>
                <w:color w:val="000000" w:themeColor="text1"/>
                <w:kern w:val="0"/>
                <w:sz w:val="28"/>
                <w:szCs w:val="28"/>
                <w:shd w:val="clear" w:color="auto" w:fill="FFFFFF"/>
              </w:rPr>
            </w:pPr>
            <w:r>
              <w:rPr>
                <w:rFonts w:hint="eastAsia" w:ascii="仿宋_GB2312" w:hAnsi="仿宋" w:eastAsia="仿宋_GB2312" w:cs="Times New Roman"/>
                <w:color w:val="000000" w:themeColor="text1"/>
                <w:kern w:val="0"/>
                <w:sz w:val="28"/>
                <w:szCs w:val="28"/>
                <w:shd w:val="clear" w:color="auto" w:fill="FFFFFF"/>
              </w:rPr>
              <w:t>第六十八条 生产经营单位的主要负责人未履行本条例第十五条第一项至第五项规定的安全生产职责的，责令限期改正，处一万元以上五万元以下的罚款；逾期未改正的，处五万元以上十万元以下的罚款，并责令生产经营单位停产停业整顿。</w:t>
            </w:r>
          </w:p>
        </w:tc>
      </w:tr>
    </w:tbl>
    <w:p>
      <w:pPr>
        <w:pStyle w:val="7"/>
        <w:shd w:val="clear" w:color="auto" w:fill="FFFFFF"/>
        <w:spacing w:before="0" w:beforeAutospacing="0" w:after="0" w:afterAutospacing="0" w:line="432" w:lineRule="atLeast"/>
        <w:jc w:val="both"/>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3YjcwZDRhOWRhZDlmMDJkOWYwYjQ3MTM0MjQ1NTUifQ=="/>
  </w:docVars>
  <w:rsids>
    <w:rsidRoot w:val="009E388B"/>
    <w:rsid w:val="0000390A"/>
    <w:rsid w:val="0001099C"/>
    <w:rsid w:val="00030413"/>
    <w:rsid w:val="00035ADD"/>
    <w:rsid w:val="00044B51"/>
    <w:rsid w:val="00045209"/>
    <w:rsid w:val="000576A9"/>
    <w:rsid w:val="000952A1"/>
    <w:rsid w:val="00095389"/>
    <w:rsid w:val="000D336C"/>
    <w:rsid w:val="000D3AFD"/>
    <w:rsid w:val="000E60E9"/>
    <w:rsid w:val="0013553C"/>
    <w:rsid w:val="00150620"/>
    <w:rsid w:val="00160565"/>
    <w:rsid w:val="001951F5"/>
    <w:rsid w:val="001F0AAB"/>
    <w:rsid w:val="00221B48"/>
    <w:rsid w:val="002364EC"/>
    <w:rsid w:val="002735E9"/>
    <w:rsid w:val="00286DE8"/>
    <w:rsid w:val="00296CDF"/>
    <w:rsid w:val="002A389D"/>
    <w:rsid w:val="002C34FC"/>
    <w:rsid w:val="003054B9"/>
    <w:rsid w:val="003256B1"/>
    <w:rsid w:val="00351304"/>
    <w:rsid w:val="003815BF"/>
    <w:rsid w:val="00381953"/>
    <w:rsid w:val="00393CB8"/>
    <w:rsid w:val="003B45E4"/>
    <w:rsid w:val="003F3408"/>
    <w:rsid w:val="00443252"/>
    <w:rsid w:val="00451424"/>
    <w:rsid w:val="0045597D"/>
    <w:rsid w:val="004622E4"/>
    <w:rsid w:val="004955F1"/>
    <w:rsid w:val="004A0654"/>
    <w:rsid w:val="004A2BCF"/>
    <w:rsid w:val="004B1A50"/>
    <w:rsid w:val="004B33F1"/>
    <w:rsid w:val="004C5614"/>
    <w:rsid w:val="004C6BF3"/>
    <w:rsid w:val="004D042D"/>
    <w:rsid w:val="004F3B64"/>
    <w:rsid w:val="005129FE"/>
    <w:rsid w:val="005132D5"/>
    <w:rsid w:val="005144F4"/>
    <w:rsid w:val="00515479"/>
    <w:rsid w:val="0052540C"/>
    <w:rsid w:val="0052557B"/>
    <w:rsid w:val="00552708"/>
    <w:rsid w:val="00560265"/>
    <w:rsid w:val="00585EEF"/>
    <w:rsid w:val="005E0817"/>
    <w:rsid w:val="005E7480"/>
    <w:rsid w:val="005F233E"/>
    <w:rsid w:val="00636579"/>
    <w:rsid w:val="00650886"/>
    <w:rsid w:val="006524B0"/>
    <w:rsid w:val="00667647"/>
    <w:rsid w:val="0067601E"/>
    <w:rsid w:val="00684559"/>
    <w:rsid w:val="006B593E"/>
    <w:rsid w:val="006C5243"/>
    <w:rsid w:val="006D31F5"/>
    <w:rsid w:val="006F1CCD"/>
    <w:rsid w:val="00731211"/>
    <w:rsid w:val="00752CCE"/>
    <w:rsid w:val="00760A9F"/>
    <w:rsid w:val="007D49C0"/>
    <w:rsid w:val="00800F0B"/>
    <w:rsid w:val="00816E46"/>
    <w:rsid w:val="0083035B"/>
    <w:rsid w:val="0085526E"/>
    <w:rsid w:val="008A502A"/>
    <w:rsid w:val="008B3203"/>
    <w:rsid w:val="008B6C9C"/>
    <w:rsid w:val="009013A2"/>
    <w:rsid w:val="00930008"/>
    <w:rsid w:val="00946E0F"/>
    <w:rsid w:val="009565C0"/>
    <w:rsid w:val="00956838"/>
    <w:rsid w:val="0099311C"/>
    <w:rsid w:val="009D3E20"/>
    <w:rsid w:val="009E388B"/>
    <w:rsid w:val="00A01C6E"/>
    <w:rsid w:val="00A85149"/>
    <w:rsid w:val="00AC1026"/>
    <w:rsid w:val="00AC4C3A"/>
    <w:rsid w:val="00AC5FF6"/>
    <w:rsid w:val="00AC7BD5"/>
    <w:rsid w:val="00AE39B3"/>
    <w:rsid w:val="00AF1494"/>
    <w:rsid w:val="00B00E9D"/>
    <w:rsid w:val="00B139A5"/>
    <w:rsid w:val="00B17609"/>
    <w:rsid w:val="00B32ADA"/>
    <w:rsid w:val="00B44E2D"/>
    <w:rsid w:val="00B45C37"/>
    <w:rsid w:val="00B75FB3"/>
    <w:rsid w:val="00B86E9E"/>
    <w:rsid w:val="00B93F5C"/>
    <w:rsid w:val="00BA4C00"/>
    <w:rsid w:val="00BB41C0"/>
    <w:rsid w:val="00BE11E1"/>
    <w:rsid w:val="00BE3FA5"/>
    <w:rsid w:val="00C02731"/>
    <w:rsid w:val="00C03451"/>
    <w:rsid w:val="00C26EF4"/>
    <w:rsid w:val="00C41597"/>
    <w:rsid w:val="00C43CB8"/>
    <w:rsid w:val="00C546A9"/>
    <w:rsid w:val="00C606A1"/>
    <w:rsid w:val="00C70E61"/>
    <w:rsid w:val="00C801DE"/>
    <w:rsid w:val="00CC167C"/>
    <w:rsid w:val="00CC7267"/>
    <w:rsid w:val="00CD08EA"/>
    <w:rsid w:val="00CD0CD0"/>
    <w:rsid w:val="00CF0861"/>
    <w:rsid w:val="00CF6ECE"/>
    <w:rsid w:val="00D142CD"/>
    <w:rsid w:val="00D25682"/>
    <w:rsid w:val="00D3077F"/>
    <w:rsid w:val="00D3681C"/>
    <w:rsid w:val="00D76C2E"/>
    <w:rsid w:val="00D9262B"/>
    <w:rsid w:val="00D942FB"/>
    <w:rsid w:val="00DC499D"/>
    <w:rsid w:val="00DE0117"/>
    <w:rsid w:val="00DF2011"/>
    <w:rsid w:val="00E0358E"/>
    <w:rsid w:val="00E2578E"/>
    <w:rsid w:val="00E3644F"/>
    <w:rsid w:val="00E57805"/>
    <w:rsid w:val="00E9287E"/>
    <w:rsid w:val="00EB02EF"/>
    <w:rsid w:val="00ED6B78"/>
    <w:rsid w:val="00EF3CC8"/>
    <w:rsid w:val="00F159C6"/>
    <w:rsid w:val="00F16D6B"/>
    <w:rsid w:val="00F44D25"/>
    <w:rsid w:val="00F6319C"/>
    <w:rsid w:val="00F64440"/>
    <w:rsid w:val="00F72A89"/>
    <w:rsid w:val="00F73724"/>
    <w:rsid w:val="00F91F1A"/>
    <w:rsid w:val="00FB0CB8"/>
    <w:rsid w:val="00FC2170"/>
    <w:rsid w:val="00FD5009"/>
    <w:rsid w:val="04D95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10"/>
    <w:semiHidden/>
    <w:unhideWhenUsed/>
    <w:uiPriority w:val="99"/>
    <w:pPr>
      <w:spacing w:after="120"/>
      <w:ind w:left="420" w:leftChars="200"/>
    </w:pPr>
  </w:style>
  <w:style w:type="paragraph" w:styleId="3">
    <w:name w:val="Body Text First Indent 2"/>
    <w:basedOn w:val="2"/>
    <w:link w:val="11"/>
    <w:semiHidden/>
    <w:unhideWhenUsed/>
    <w:uiPriority w:val="99"/>
    <w:pPr>
      <w:ind w:firstLine="420" w:firstLineChars="200"/>
    </w:pPr>
  </w:style>
  <w:style w:type="paragraph" w:styleId="4">
    <w:name w:val="Date"/>
    <w:basedOn w:val="1"/>
    <w:next w:val="1"/>
    <w:link w:val="14"/>
    <w:semiHidden/>
    <w:unhideWhenUsed/>
    <w:qFormat/>
    <w:uiPriority w:val="99"/>
    <w:pPr>
      <w:ind w:left="100" w:leftChars="2500"/>
    </w:p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正文文本缩进 字符"/>
    <w:basedOn w:val="9"/>
    <w:link w:val="2"/>
    <w:semiHidden/>
    <w:uiPriority w:val="99"/>
    <w:rPr>
      <w:rFonts w:ascii="Times New Roman" w:hAnsi="Times New Roman" w:eastAsia="宋体" w:cs="Times New Roman"/>
      <w:sz w:val="21"/>
      <w:szCs w:val="20"/>
    </w:rPr>
  </w:style>
  <w:style w:type="character" w:customStyle="1" w:styleId="11">
    <w:name w:val="正文文本首行缩进 2 字符"/>
    <w:basedOn w:val="10"/>
    <w:link w:val="3"/>
    <w:semiHidden/>
    <w:uiPriority w:val="99"/>
    <w:rPr>
      <w:rFonts w:ascii="Times New Roman" w:hAnsi="Times New Roman" w:eastAsia="宋体" w:cs="Times New Roman"/>
      <w:sz w:val="21"/>
      <w:szCs w:val="20"/>
    </w:rPr>
  </w:style>
  <w:style w:type="paragraph" w:styleId="12">
    <w:name w:val="List Paragraph"/>
    <w:basedOn w:val="1"/>
    <w:qFormat/>
    <w:uiPriority w:val="34"/>
    <w:pPr>
      <w:ind w:firstLine="420" w:firstLineChars="200"/>
    </w:pPr>
    <w:rPr>
      <w:rFonts w:cs="Times New Roman"/>
    </w:rPr>
  </w:style>
  <w:style w:type="paragraph" w:customStyle="1" w:styleId="13">
    <w:name w:val="列出段落1"/>
    <w:basedOn w:val="1"/>
    <w:qFormat/>
    <w:uiPriority w:val="99"/>
    <w:pPr>
      <w:ind w:firstLine="420" w:firstLineChars="200"/>
    </w:pPr>
    <w:rPr>
      <w:rFonts w:cs="Times New Roman"/>
    </w:rPr>
  </w:style>
  <w:style w:type="character" w:customStyle="1" w:styleId="14">
    <w:name w:val="日期 字符"/>
    <w:basedOn w:val="9"/>
    <w:link w:val="4"/>
    <w:semiHidden/>
    <w:uiPriority w:val="99"/>
    <w:rPr>
      <w:rFonts w:ascii="Times New Roman" w:hAnsi="Times New Roman" w:eastAsia="宋体"/>
      <w:sz w:val="21"/>
      <w:szCs w:val="20"/>
    </w:rPr>
  </w:style>
  <w:style w:type="character" w:customStyle="1" w:styleId="15">
    <w:name w:val="页眉 字符"/>
    <w:basedOn w:val="9"/>
    <w:link w:val="6"/>
    <w:uiPriority w:val="99"/>
    <w:rPr>
      <w:rFonts w:ascii="Times New Roman" w:hAnsi="Times New Roman" w:eastAsia="宋体"/>
      <w:sz w:val="18"/>
      <w:szCs w:val="18"/>
    </w:rPr>
  </w:style>
  <w:style w:type="character" w:customStyle="1" w:styleId="16">
    <w:name w:val="页脚 字符"/>
    <w:basedOn w:val="9"/>
    <w:link w:val="5"/>
    <w:uiPriority w:val="99"/>
    <w:rPr>
      <w:rFonts w:ascii="Times New Roman" w:hAnsi="Times New Roman" w:eastAsia="宋体"/>
      <w:sz w:val="18"/>
      <w:szCs w:val="18"/>
    </w:rPr>
  </w:style>
  <w:style w:type="table" w:customStyle="1" w:styleId="17">
    <w:name w:val="网格型1"/>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faguicon_p"/>
    <w:basedOn w:val="1"/>
    <w:qFormat/>
    <w:uiPriority w:val="0"/>
    <w:pPr>
      <w:widowControl/>
      <w:ind w:firstLine="480"/>
      <w:jc w:val="left"/>
    </w:pPr>
    <w:rPr>
      <w:rFonts w:ascii="微软雅黑" w:hAnsi="微软雅黑" w:eastAsia="微软雅黑" w:cs="微软雅黑"/>
      <w:kern w:val="0"/>
      <w:sz w:val="24"/>
      <w:szCs w:val="24"/>
    </w:rPr>
  </w:style>
  <w:style w:type="character" w:customStyle="1" w:styleId="19">
    <w:name w:val="any"/>
    <w:basedOn w:val="9"/>
    <w:qFormat/>
    <w:uiPriority w:val="0"/>
  </w:style>
  <w:style w:type="character" w:customStyle="1" w:styleId="20">
    <w:name w:val="sect2title"/>
    <w:basedOn w:val="9"/>
    <w:qFormat/>
    <w:uiPriority w:val="0"/>
    <w:rPr>
      <w:rFonts w:ascii="微软雅黑" w:hAnsi="微软雅黑" w:eastAsia="微软雅黑" w:cs="微软雅黑"/>
      <w:b/>
      <w:bCs/>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482A-B508-4500-8D58-E65F125EF1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5816</Words>
  <Characters>5909</Characters>
  <Lines>43</Lines>
  <Paragraphs>12</Paragraphs>
  <TotalTime>256</TotalTime>
  <ScaleCrop>false</ScaleCrop>
  <LinksUpToDate>false</LinksUpToDate>
  <CharactersWithSpaces>5966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2023-04-17T02:26:00Z</dcterms:created>
  <dc:creator>郝然</dc:creator>
  <cp:lastModifiedBy>Sirius</cp:lastModifiedBy>
  <cp:lastPrinted>2023-02-14T06:13:00Z</cp:lastPrinted>
  <dcterms:modified xsi:type="dcterms:W3CDTF">2023-05-16T01:34:05Z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D725D73FBEBA41329399F8F13FB4D3D5_12</vt:lpwstr>
  </property>
</Properties>
</file>